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62F4E" w:rsidRPr="00CD0D0F" w14:paraId="5C5114EF" w14:textId="77777777" w:rsidTr="00B344F1">
        <w:tc>
          <w:tcPr>
            <w:tcW w:w="4675" w:type="dxa"/>
          </w:tcPr>
          <w:p w14:paraId="70261577" w14:textId="2941515C" w:rsidR="00962F4E" w:rsidRPr="00CD0D0F" w:rsidRDefault="00077688">
            <w:pPr>
              <w:rPr>
                <w:b/>
                <w:bCs/>
                <w:color w:val="002060"/>
                <w:sz w:val="24"/>
                <w:szCs w:val="24"/>
              </w:rPr>
            </w:pPr>
            <w:r w:rsidRPr="00CD0D0F">
              <w:rPr>
                <w:b/>
                <w:bCs/>
                <w:color w:val="002060"/>
                <w:sz w:val="24"/>
                <w:szCs w:val="24"/>
              </w:rPr>
              <w:t>INFLATION</w:t>
            </w:r>
            <w:r w:rsidR="00962F4E" w:rsidRPr="00CD0D0F">
              <w:rPr>
                <w:b/>
                <w:bCs/>
                <w:color w:val="002060"/>
                <w:sz w:val="24"/>
                <w:szCs w:val="24"/>
              </w:rPr>
              <w:t xml:space="preserve"> BRIEF</w:t>
            </w:r>
            <w:r w:rsidR="002E3109" w:rsidRPr="00CD0D0F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4675" w:type="dxa"/>
          </w:tcPr>
          <w:p w14:paraId="00126248" w14:textId="5BF5B406" w:rsidR="00962F4E" w:rsidRPr="00CD0D0F" w:rsidRDefault="00962F4E" w:rsidP="00962F4E">
            <w:pPr>
              <w:jc w:val="right"/>
              <w:rPr>
                <w:b/>
                <w:bCs/>
                <w:color w:val="002060"/>
                <w:sz w:val="24"/>
                <w:szCs w:val="24"/>
              </w:rPr>
            </w:pPr>
            <w:r w:rsidRPr="00CD0D0F">
              <w:rPr>
                <w:b/>
                <w:bCs/>
                <w:color w:val="002060"/>
                <w:sz w:val="24"/>
                <w:szCs w:val="24"/>
              </w:rPr>
              <w:t>Inflation Rate</w:t>
            </w:r>
          </w:p>
        </w:tc>
      </w:tr>
      <w:tr w:rsidR="00962F4E" w:rsidRPr="00CD0D0F" w14:paraId="1C0F22EE" w14:textId="77777777" w:rsidTr="00B344F1">
        <w:tc>
          <w:tcPr>
            <w:tcW w:w="4675" w:type="dxa"/>
          </w:tcPr>
          <w:p w14:paraId="2D9CF82F" w14:textId="29DF0FE1" w:rsidR="00962F4E" w:rsidRPr="00CD0D0F" w:rsidRDefault="00EC7C41">
            <w:pPr>
              <w:rPr>
                <w:b/>
                <w:bCs/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>NOVEMBER</w:t>
            </w:r>
            <w:r w:rsidR="00CD0D0F" w:rsidRPr="00CD0D0F">
              <w:rPr>
                <w:b/>
                <w:bCs/>
                <w:color w:val="002060"/>
                <w:sz w:val="24"/>
                <w:szCs w:val="24"/>
              </w:rPr>
              <w:t xml:space="preserve"> 2022</w:t>
            </w:r>
          </w:p>
        </w:tc>
        <w:tc>
          <w:tcPr>
            <w:tcW w:w="4675" w:type="dxa"/>
          </w:tcPr>
          <w:p w14:paraId="79E9DEA4" w14:textId="21BB6B1B" w:rsidR="00962F4E" w:rsidRPr="00CD0D0F" w:rsidRDefault="00CE775D" w:rsidP="000A5662">
            <w:pPr>
              <w:jc w:val="right"/>
              <w:rPr>
                <w:b/>
                <w:bCs/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>13.</w:t>
            </w:r>
            <w:r w:rsidR="00EC7C41">
              <w:rPr>
                <w:b/>
                <w:bCs/>
                <w:color w:val="002060"/>
                <w:sz w:val="24"/>
                <w:szCs w:val="24"/>
              </w:rPr>
              <w:t>0</w:t>
            </w:r>
            <w:r w:rsidR="00962F4E" w:rsidRPr="00CD0D0F">
              <w:rPr>
                <w:b/>
                <w:bCs/>
                <w:color w:val="002060"/>
                <w:sz w:val="24"/>
                <w:szCs w:val="24"/>
              </w:rPr>
              <w:t>%</w:t>
            </w:r>
          </w:p>
        </w:tc>
      </w:tr>
    </w:tbl>
    <w:p w14:paraId="18338FD8" w14:textId="7DEE2D27" w:rsidR="006173DC" w:rsidRDefault="006173DC">
      <w:pPr>
        <w:sectPr w:rsidR="006173DC" w:rsidSect="00E4488E">
          <w:footerReference w:type="default" r:id="rId10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081F2BF2" w14:textId="165B255F" w:rsidR="00AC5261" w:rsidRDefault="000A5662" w:rsidP="00AC5261">
      <w:pPr>
        <w:spacing w:after="0" w:line="240" w:lineRule="auto"/>
        <w:rPr>
          <w:b/>
          <w:bCs/>
          <w:sz w:val="14"/>
          <w:szCs w:val="14"/>
        </w:rPr>
      </w:pPr>
      <w:r w:rsidRPr="00411016">
        <w:rPr>
          <w:b/>
          <w:bCs/>
          <w:sz w:val="16"/>
          <w:szCs w:val="16"/>
        </w:rPr>
        <w:t>Chart 1: Headline Consumer Price Index</w:t>
      </w:r>
      <w:r w:rsidR="00B344F1" w:rsidRPr="00B344F1">
        <w:rPr>
          <w:noProof/>
        </w:rPr>
        <w:t xml:space="preserve"> </w:t>
      </w:r>
      <w:r w:rsidR="005037D1">
        <w:rPr>
          <w:b/>
          <w:bCs/>
          <w:sz w:val="14"/>
          <w:szCs w:val="14"/>
        </w:rPr>
        <w:t>(Seasonally Adjusted)</w:t>
      </w:r>
    </w:p>
    <w:p w14:paraId="02366D2D" w14:textId="0252151D" w:rsidR="00AC5261" w:rsidRDefault="00AC5261" w:rsidP="00D93335">
      <w:pPr>
        <w:spacing w:after="0" w:line="240" w:lineRule="auto"/>
        <w:rPr>
          <w:b/>
          <w:bCs/>
          <w:sz w:val="14"/>
          <w:szCs w:val="14"/>
        </w:rPr>
      </w:pPr>
    </w:p>
    <w:p w14:paraId="4139707F" w14:textId="678CB382" w:rsidR="002D285F" w:rsidRPr="00D93335" w:rsidRDefault="000F2385" w:rsidP="00D93335">
      <w:pPr>
        <w:spacing w:after="0" w:line="240" w:lineRule="auto"/>
        <w:rPr>
          <w:b/>
          <w:bCs/>
          <w:sz w:val="14"/>
          <w:szCs w:val="14"/>
        </w:rPr>
      </w:pPr>
      <w:r>
        <w:object w:dxaOrig="9915" w:dyaOrig="4470" w14:anchorId="186AF7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.5pt;height:108.75pt" o:ole="">
            <v:imagedata r:id="rId11" o:title=""/>
          </v:shape>
          <o:OLEObject Type="Embed" ProgID="EViews.Workfile.2" ShapeID="_x0000_i1025" DrawAspect="Content" ObjectID="_1734955072" r:id="rId12"/>
        </w:object>
      </w:r>
    </w:p>
    <w:p w14:paraId="42487C96" w14:textId="4606FBF4" w:rsidR="002939BE" w:rsidRDefault="004D44F6" w:rsidP="004D44F6">
      <w:pPr>
        <w:spacing w:after="0"/>
        <w:rPr>
          <w:b/>
          <w:bCs/>
          <w:sz w:val="14"/>
          <w:szCs w:val="14"/>
        </w:rPr>
      </w:pPr>
      <w:r w:rsidRPr="00411016">
        <w:rPr>
          <w:b/>
          <w:bCs/>
          <w:sz w:val="16"/>
          <w:szCs w:val="16"/>
        </w:rPr>
        <w:t xml:space="preserve">Chart </w:t>
      </w:r>
      <w:r>
        <w:rPr>
          <w:b/>
          <w:bCs/>
          <w:sz w:val="16"/>
          <w:szCs w:val="16"/>
        </w:rPr>
        <w:t>2</w:t>
      </w:r>
      <w:r w:rsidRPr="00411016">
        <w:rPr>
          <w:b/>
          <w:bCs/>
          <w:sz w:val="16"/>
          <w:szCs w:val="16"/>
        </w:rPr>
        <w:t xml:space="preserve">: Contributions to </w:t>
      </w:r>
      <w:r w:rsidR="005037D1">
        <w:rPr>
          <w:b/>
          <w:bCs/>
          <w:sz w:val="16"/>
          <w:szCs w:val="16"/>
        </w:rPr>
        <w:t xml:space="preserve">headline </w:t>
      </w:r>
      <w:r w:rsidRPr="00411016">
        <w:rPr>
          <w:b/>
          <w:bCs/>
          <w:sz w:val="16"/>
          <w:szCs w:val="16"/>
        </w:rPr>
        <w:t xml:space="preserve">CPI, </w:t>
      </w:r>
      <w:r w:rsidR="005037D1">
        <w:rPr>
          <w:b/>
          <w:bCs/>
          <w:sz w:val="14"/>
          <w:szCs w:val="14"/>
        </w:rPr>
        <w:t>(Seasonally Adjusted)</w:t>
      </w:r>
    </w:p>
    <w:p w14:paraId="3F927DDF" w14:textId="09B9DCB4" w:rsidR="00AC5261" w:rsidRPr="00D93335" w:rsidRDefault="00B6534A" w:rsidP="004D44F6">
      <w:pPr>
        <w:spacing w:after="0"/>
        <w:rPr>
          <w:b/>
          <w:bCs/>
          <w:sz w:val="14"/>
          <w:szCs w:val="14"/>
        </w:rPr>
      </w:pPr>
      <w:r>
        <w:object w:dxaOrig="8580" w:dyaOrig="6851" w14:anchorId="562A74EE">
          <v:shape id="_x0000_i1026" type="#_x0000_t75" style="width:219.75pt;height:114pt" o:ole="" o:bordertopcolor="this" o:borderleftcolor="this" o:borderbottomcolor="this" o:borderrightcolor="this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Views.Workfile.2" ShapeID="_x0000_i1026" DrawAspect="Content" ObjectID="_1734955073" r:id="rId14"/>
        </w:object>
      </w:r>
    </w:p>
    <w:p w14:paraId="47B28CB7" w14:textId="58181130" w:rsidR="001E772E" w:rsidRDefault="000A5662" w:rsidP="005037D1">
      <w:pPr>
        <w:spacing w:after="0" w:line="240" w:lineRule="auto"/>
        <w:jc w:val="both"/>
        <w:rPr>
          <w:b/>
          <w:bCs/>
          <w:sz w:val="14"/>
          <w:szCs w:val="14"/>
        </w:rPr>
      </w:pPr>
      <w:r w:rsidRPr="004D44F6">
        <w:rPr>
          <w:b/>
          <w:bCs/>
          <w:sz w:val="14"/>
          <w:szCs w:val="14"/>
        </w:rPr>
        <w:t xml:space="preserve">Chart </w:t>
      </w:r>
      <w:r w:rsidR="004D44F6" w:rsidRPr="004D44F6">
        <w:rPr>
          <w:b/>
          <w:bCs/>
          <w:sz w:val="14"/>
          <w:szCs w:val="14"/>
        </w:rPr>
        <w:t>3</w:t>
      </w:r>
      <w:r w:rsidRPr="004D44F6">
        <w:rPr>
          <w:b/>
          <w:bCs/>
          <w:sz w:val="14"/>
          <w:szCs w:val="14"/>
        </w:rPr>
        <w:t xml:space="preserve">: Contributions to CPI </w:t>
      </w:r>
      <w:r w:rsidR="005037D1">
        <w:rPr>
          <w:b/>
          <w:bCs/>
          <w:sz w:val="14"/>
          <w:szCs w:val="14"/>
        </w:rPr>
        <w:t xml:space="preserve">in terms of </w:t>
      </w:r>
      <w:r w:rsidRPr="004D44F6">
        <w:rPr>
          <w:b/>
          <w:bCs/>
          <w:sz w:val="14"/>
          <w:szCs w:val="14"/>
        </w:rPr>
        <w:t>Market &amp; Administered Prices</w:t>
      </w:r>
      <w:r w:rsidR="005037D1">
        <w:rPr>
          <w:b/>
          <w:bCs/>
          <w:sz w:val="14"/>
          <w:szCs w:val="14"/>
        </w:rPr>
        <w:t xml:space="preserve"> (Seasonally Adjusted)</w:t>
      </w:r>
    </w:p>
    <w:p w14:paraId="2E584E15" w14:textId="00E689E3" w:rsidR="00D93335" w:rsidRDefault="00A933B7" w:rsidP="005037D1">
      <w:pPr>
        <w:spacing w:after="0" w:line="240" w:lineRule="auto"/>
        <w:jc w:val="both"/>
        <w:rPr>
          <w:b/>
          <w:bCs/>
          <w:sz w:val="14"/>
          <w:szCs w:val="14"/>
        </w:rPr>
      </w:pPr>
      <w:r>
        <w:object w:dxaOrig="7690" w:dyaOrig="5851" w14:anchorId="0B242E9D">
          <v:shape id="_x0000_i1027" type="#_x0000_t75" style="width:226.5pt;height:103.5pt" o:ole="">
            <v:imagedata r:id="rId15" o:title=""/>
          </v:shape>
          <o:OLEObject Type="Embed" ProgID="EViews.Workfile.2" ShapeID="_x0000_i1027" DrawAspect="Content" ObjectID="_1734955074" r:id="rId16"/>
        </w:object>
      </w:r>
    </w:p>
    <w:p w14:paraId="0D232126" w14:textId="5F4D8E84" w:rsidR="007C1E48" w:rsidRDefault="000A5662" w:rsidP="00E64945">
      <w:pPr>
        <w:spacing w:after="0"/>
        <w:rPr>
          <w:b/>
          <w:bCs/>
          <w:sz w:val="16"/>
          <w:szCs w:val="16"/>
        </w:rPr>
      </w:pPr>
      <w:r w:rsidRPr="00411016">
        <w:rPr>
          <w:b/>
          <w:bCs/>
          <w:sz w:val="16"/>
          <w:szCs w:val="16"/>
        </w:rPr>
        <w:t xml:space="preserve">Chart </w:t>
      </w:r>
      <w:r w:rsidR="00B024E5">
        <w:rPr>
          <w:b/>
          <w:bCs/>
          <w:sz w:val="16"/>
          <w:szCs w:val="16"/>
        </w:rPr>
        <w:t>4</w:t>
      </w:r>
      <w:r w:rsidRPr="00411016">
        <w:rPr>
          <w:b/>
          <w:bCs/>
          <w:sz w:val="16"/>
          <w:szCs w:val="16"/>
        </w:rPr>
        <w:t>:</w:t>
      </w:r>
      <w:r w:rsidR="001B720A" w:rsidRPr="00411016">
        <w:rPr>
          <w:b/>
          <w:bCs/>
          <w:sz w:val="16"/>
          <w:szCs w:val="16"/>
        </w:rPr>
        <w:t xml:space="preserve"> </w:t>
      </w:r>
      <w:r w:rsidR="00076526">
        <w:rPr>
          <w:b/>
          <w:bCs/>
          <w:sz w:val="16"/>
          <w:szCs w:val="16"/>
        </w:rPr>
        <w:t>Monthly</w:t>
      </w:r>
      <w:r w:rsidRPr="00411016">
        <w:rPr>
          <w:b/>
          <w:bCs/>
          <w:sz w:val="16"/>
          <w:szCs w:val="16"/>
        </w:rPr>
        <w:t xml:space="preserve"> CPI</w:t>
      </w:r>
      <w:r w:rsidR="00076526">
        <w:rPr>
          <w:b/>
          <w:bCs/>
          <w:sz w:val="16"/>
          <w:szCs w:val="16"/>
        </w:rPr>
        <w:t xml:space="preserve"> and contributions</w:t>
      </w:r>
      <w:r w:rsidR="005037D1">
        <w:rPr>
          <w:b/>
          <w:bCs/>
          <w:sz w:val="16"/>
          <w:szCs w:val="16"/>
        </w:rPr>
        <w:t xml:space="preserve"> </w:t>
      </w:r>
      <w:r w:rsidR="005037D1" w:rsidRPr="005037D1">
        <w:rPr>
          <w:b/>
          <w:bCs/>
          <w:sz w:val="16"/>
          <w:szCs w:val="16"/>
        </w:rPr>
        <w:t>(Seasonally Adjusted)</w:t>
      </w:r>
    </w:p>
    <w:p w14:paraId="67B08B7C" w14:textId="58EF8009" w:rsidR="00AC5261" w:rsidRDefault="00B6534A" w:rsidP="00E64945">
      <w:pPr>
        <w:spacing w:after="0"/>
        <w:rPr>
          <w:b/>
          <w:bCs/>
          <w:sz w:val="16"/>
          <w:szCs w:val="16"/>
        </w:rPr>
      </w:pPr>
      <w:r>
        <w:object w:dxaOrig="8661" w:dyaOrig="6851" w14:anchorId="4ADA495E">
          <v:shape id="_x0000_i1028" type="#_x0000_t75" style="width:231pt;height:91.5pt" o:ole="" o:bordertopcolor="this" o:borderleftcolor="this" o:borderbottomcolor="this" o:borderrightcolor="this">
            <v:imagedata r:id="rId1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Views.Workfile.2" ShapeID="_x0000_i1028" DrawAspect="Content" ObjectID="_1734955075" r:id="rId18"/>
        </w:object>
      </w:r>
    </w:p>
    <w:p w14:paraId="1A8AFF1C" w14:textId="1E075E6C" w:rsidR="00B148DD" w:rsidRDefault="00B024E5" w:rsidP="00C32160">
      <w:pPr>
        <w:spacing w:after="0"/>
        <w:rPr>
          <w:b/>
          <w:bCs/>
          <w:sz w:val="16"/>
          <w:szCs w:val="16"/>
        </w:rPr>
      </w:pPr>
      <w:r w:rsidRPr="00411016">
        <w:rPr>
          <w:b/>
          <w:bCs/>
          <w:sz w:val="16"/>
          <w:szCs w:val="16"/>
        </w:rPr>
        <w:t xml:space="preserve">Chart </w:t>
      </w:r>
      <w:r>
        <w:rPr>
          <w:b/>
          <w:bCs/>
          <w:sz w:val="16"/>
          <w:szCs w:val="16"/>
        </w:rPr>
        <w:t>5</w:t>
      </w:r>
      <w:r w:rsidRPr="00411016">
        <w:rPr>
          <w:b/>
          <w:bCs/>
          <w:sz w:val="16"/>
          <w:szCs w:val="16"/>
        </w:rPr>
        <w:t>: Co</w:t>
      </w:r>
      <w:r w:rsidR="00820BCC">
        <w:rPr>
          <w:b/>
          <w:bCs/>
          <w:sz w:val="16"/>
          <w:szCs w:val="16"/>
        </w:rPr>
        <w:t>re inflation</w:t>
      </w:r>
    </w:p>
    <w:p w14:paraId="1BBE1035" w14:textId="18569AA6" w:rsidR="0083430D" w:rsidRDefault="0083430D" w:rsidP="00C32160">
      <w:pPr>
        <w:spacing w:after="0"/>
        <w:rPr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4D7792AB" wp14:editId="539A60C2">
            <wp:extent cx="2940050" cy="1244600"/>
            <wp:effectExtent l="0" t="0" r="12700" b="1270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77B9E48-8735-48E3-A650-F3D5E8241D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B6C82E8" w14:textId="73C79084" w:rsidR="001F7A7E" w:rsidRPr="00B148DD" w:rsidRDefault="00022E86" w:rsidP="00C32160">
      <w:pPr>
        <w:spacing w:after="0"/>
        <w:rPr>
          <w:noProof/>
          <w:sz w:val="20"/>
          <w:szCs w:val="20"/>
        </w:rPr>
      </w:pPr>
      <w:r>
        <w:rPr>
          <w:b/>
          <w:bCs/>
          <w:color w:val="002060"/>
          <w:sz w:val="19"/>
          <w:szCs w:val="19"/>
        </w:rPr>
        <w:t xml:space="preserve">  </w:t>
      </w:r>
      <w:r w:rsidR="006173DC" w:rsidRPr="00B148DD">
        <w:rPr>
          <w:b/>
          <w:bCs/>
          <w:color w:val="002060"/>
          <w:sz w:val="20"/>
          <w:szCs w:val="20"/>
        </w:rPr>
        <w:t xml:space="preserve">Consumer </w:t>
      </w:r>
      <w:r w:rsidR="004D4947" w:rsidRPr="00B148DD">
        <w:rPr>
          <w:b/>
          <w:bCs/>
          <w:color w:val="002060"/>
          <w:sz w:val="20"/>
          <w:szCs w:val="20"/>
        </w:rPr>
        <w:t>P</w:t>
      </w:r>
      <w:r w:rsidR="006173DC" w:rsidRPr="00B148DD">
        <w:rPr>
          <w:b/>
          <w:bCs/>
          <w:color w:val="002060"/>
          <w:sz w:val="20"/>
          <w:szCs w:val="20"/>
        </w:rPr>
        <w:t>rice</w:t>
      </w:r>
      <w:r w:rsidR="004D4947" w:rsidRPr="00B148DD">
        <w:rPr>
          <w:b/>
          <w:bCs/>
          <w:color w:val="002060"/>
          <w:sz w:val="20"/>
          <w:szCs w:val="20"/>
        </w:rPr>
        <w:t xml:space="preserve"> Index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3"/>
        <w:gridCol w:w="992"/>
        <w:gridCol w:w="715"/>
      </w:tblGrid>
      <w:tr w:rsidR="007A5B10" w:rsidRPr="00B148DD" w14:paraId="7ECC61D4" w14:textId="1F606A85" w:rsidTr="007A5EBB">
        <w:tc>
          <w:tcPr>
            <w:tcW w:w="2603" w:type="dxa"/>
          </w:tcPr>
          <w:p w14:paraId="4601B7DA" w14:textId="2F91AE9A" w:rsidR="00F56A7B" w:rsidRPr="00B148DD" w:rsidRDefault="000C6F6A" w:rsidP="003B6E32">
            <w:pPr>
              <w:jc w:val="both"/>
              <w:rPr>
                <w:sz w:val="20"/>
                <w:szCs w:val="20"/>
              </w:rPr>
            </w:pPr>
            <w:r w:rsidRPr="00B148DD">
              <w:rPr>
                <w:sz w:val="20"/>
                <w:szCs w:val="20"/>
              </w:rPr>
              <w:t>12</w:t>
            </w:r>
            <w:r w:rsidR="00B72D06" w:rsidRPr="00B148DD">
              <w:rPr>
                <w:sz w:val="20"/>
                <w:szCs w:val="20"/>
              </w:rPr>
              <w:t>-</w:t>
            </w:r>
            <w:r w:rsidRPr="00B148DD">
              <w:rPr>
                <w:sz w:val="20"/>
                <w:szCs w:val="20"/>
              </w:rPr>
              <w:t>Month Moving Average</w:t>
            </w:r>
          </w:p>
        </w:tc>
        <w:tc>
          <w:tcPr>
            <w:tcW w:w="992" w:type="dxa"/>
          </w:tcPr>
          <w:p w14:paraId="4AF6F2C6" w14:textId="1F7C3756" w:rsidR="00F56A7B" w:rsidRPr="00B148DD" w:rsidRDefault="002D285F" w:rsidP="003B6E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41658">
              <w:rPr>
                <w:sz w:val="20"/>
                <w:szCs w:val="20"/>
              </w:rPr>
              <w:t>0.</w:t>
            </w:r>
            <w:r>
              <w:rPr>
                <w:sz w:val="20"/>
                <w:szCs w:val="20"/>
              </w:rPr>
              <w:t>89</w:t>
            </w:r>
            <w:r w:rsidR="00686165" w:rsidRPr="00B148DD">
              <w:rPr>
                <w:sz w:val="20"/>
                <w:szCs w:val="20"/>
              </w:rPr>
              <w:t>ppt</w:t>
            </w:r>
          </w:p>
        </w:tc>
        <w:tc>
          <w:tcPr>
            <w:tcW w:w="715" w:type="dxa"/>
          </w:tcPr>
          <w:p w14:paraId="50E32E0E" w14:textId="7803D5DA" w:rsidR="00F56A7B" w:rsidRPr="00B148DD" w:rsidRDefault="0056200D" w:rsidP="003B6E32">
            <w:pPr>
              <w:jc w:val="both"/>
              <w:rPr>
                <w:sz w:val="20"/>
                <w:szCs w:val="20"/>
              </w:rPr>
            </w:pPr>
            <w:r w:rsidRPr="00B148DD">
              <w:rPr>
                <w:noProof/>
                <w:color w:val="00206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2FF5FE" wp14:editId="170943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19050</wp:posOffset>
                      </wp:positionV>
                      <wp:extent cx="122830" cy="122830"/>
                      <wp:effectExtent l="19050" t="0" r="29845" b="29845"/>
                      <wp:wrapNone/>
                      <wp:docPr id="3" name="Arrow: Up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2830" cy="12283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A882EAB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3" o:spid="_x0000_s1026" type="#_x0000_t68" style="position:absolute;margin-left:.05pt;margin-top:1.5pt;width:9.65pt;height:9.65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" adj="10800" fillcolor="#4472c4 [3204]" strokecolor="#1f3763 [1604]" strokeweight="1pt"/>
                  </w:pict>
                </mc:Fallback>
              </mc:AlternateContent>
            </w:r>
          </w:p>
        </w:tc>
      </w:tr>
      <w:tr w:rsidR="000B3D38" w:rsidRPr="00B148DD" w14:paraId="7D6A0CBB" w14:textId="26BB7259" w:rsidTr="007A5EBB">
        <w:tc>
          <w:tcPr>
            <w:tcW w:w="2603" w:type="dxa"/>
          </w:tcPr>
          <w:p w14:paraId="01D2024C" w14:textId="3D86F006" w:rsidR="000B3D38" w:rsidRPr="00B148DD" w:rsidRDefault="000B3D38" w:rsidP="003B6E32">
            <w:pPr>
              <w:jc w:val="both"/>
              <w:rPr>
                <w:sz w:val="20"/>
                <w:szCs w:val="20"/>
              </w:rPr>
            </w:pPr>
            <w:r w:rsidRPr="00B148DD">
              <w:rPr>
                <w:sz w:val="20"/>
                <w:szCs w:val="20"/>
              </w:rPr>
              <w:t>Year-on-year change (%)</w:t>
            </w:r>
          </w:p>
        </w:tc>
        <w:tc>
          <w:tcPr>
            <w:tcW w:w="992" w:type="dxa"/>
          </w:tcPr>
          <w:p w14:paraId="70AECFE2" w14:textId="1FFBF1E9" w:rsidR="000B3D38" w:rsidRPr="00B148DD" w:rsidRDefault="00F41658" w:rsidP="003B6E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C21767" w:rsidRPr="00B148DD">
              <w:rPr>
                <w:sz w:val="20"/>
                <w:szCs w:val="20"/>
              </w:rPr>
              <w:t>0</w:t>
            </w:r>
            <w:r w:rsidR="00D44A7F" w:rsidRPr="00B148DD">
              <w:rPr>
                <w:sz w:val="20"/>
                <w:szCs w:val="20"/>
              </w:rPr>
              <w:t>.</w:t>
            </w:r>
            <w:r w:rsidR="002D285F">
              <w:rPr>
                <w:sz w:val="20"/>
                <w:szCs w:val="20"/>
              </w:rPr>
              <w:t>25</w:t>
            </w:r>
            <w:r w:rsidR="00686165" w:rsidRPr="00B148DD">
              <w:rPr>
                <w:sz w:val="20"/>
                <w:szCs w:val="20"/>
              </w:rPr>
              <w:t>ppt</w:t>
            </w:r>
          </w:p>
        </w:tc>
        <w:tc>
          <w:tcPr>
            <w:tcW w:w="715" w:type="dxa"/>
          </w:tcPr>
          <w:p w14:paraId="001E75FC" w14:textId="658C142D" w:rsidR="000B3D38" w:rsidRPr="00B148DD" w:rsidRDefault="00AD3DA1" w:rsidP="003B6E32">
            <w:pPr>
              <w:jc w:val="both"/>
              <w:rPr>
                <w:sz w:val="20"/>
                <w:szCs w:val="20"/>
              </w:rPr>
            </w:pPr>
            <w:r w:rsidRPr="00B148DD">
              <w:rPr>
                <w:noProof/>
                <w:color w:val="00206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EEFAAF" wp14:editId="49C122A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15875</wp:posOffset>
                      </wp:positionV>
                      <wp:extent cx="122830" cy="122830"/>
                      <wp:effectExtent l="19050" t="0" r="29845" b="29845"/>
                      <wp:wrapNone/>
                      <wp:docPr id="5" name="Arrow: Up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2830" cy="12283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A43EA6" id="Arrow: Up 5" o:spid="_x0000_s1026" type="#_x0000_t68" style="position:absolute;margin-left:.25pt;margin-top:1.25pt;width:9.65pt;height:9.65pt;rotation:18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" adj="10800" fillcolor="#4472c4 [3204]" strokecolor="#1f3763 [1604]" strokeweight="1pt"/>
                  </w:pict>
                </mc:Fallback>
              </mc:AlternateContent>
            </w:r>
          </w:p>
        </w:tc>
      </w:tr>
    </w:tbl>
    <w:p w14:paraId="0521DC85" w14:textId="77777777" w:rsidR="00A45DD0" w:rsidRPr="00A45DD0" w:rsidRDefault="00A45DD0" w:rsidP="00FB1ACA">
      <w:pPr>
        <w:spacing w:after="0" w:line="240" w:lineRule="auto"/>
        <w:jc w:val="both"/>
        <w:rPr>
          <w:b/>
          <w:bCs/>
          <w:color w:val="002060"/>
          <w:sz w:val="19"/>
          <w:szCs w:val="19"/>
        </w:rPr>
      </w:pPr>
    </w:p>
    <w:p w14:paraId="21729A55" w14:textId="6E887C9F" w:rsidR="00CB4401" w:rsidRPr="00B148DD" w:rsidRDefault="00CB4401" w:rsidP="00FB1ACA">
      <w:pPr>
        <w:spacing w:after="0" w:line="240" w:lineRule="auto"/>
        <w:jc w:val="both"/>
        <w:rPr>
          <w:b/>
          <w:bCs/>
          <w:color w:val="002060"/>
          <w:sz w:val="20"/>
          <w:szCs w:val="20"/>
        </w:rPr>
      </w:pPr>
      <w:r w:rsidRPr="00B148DD">
        <w:rPr>
          <w:b/>
          <w:bCs/>
          <w:color w:val="002060"/>
          <w:sz w:val="20"/>
          <w:szCs w:val="20"/>
        </w:rPr>
        <w:t>Headline Inflation</w:t>
      </w:r>
    </w:p>
    <w:p w14:paraId="5D8C5408" w14:textId="00B07D64" w:rsidR="00292CDE" w:rsidRPr="00B148DD" w:rsidRDefault="000F2385" w:rsidP="00292CDE">
      <w:pPr>
        <w:spacing w:after="0" w:line="240" w:lineRule="auto"/>
        <w:jc w:val="both"/>
        <w:rPr>
          <w:sz w:val="20"/>
          <w:szCs w:val="20"/>
        </w:rPr>
      </w:pPr>
      <w:r w:rsidRPr="00B148DD">
        <w:rPr>
          <w:sz w:val="20"/>
          <w:szCs w:val="20"/>
        </w:rPr>
        <w:t>Inflatio</w:t>
      </w:r>
      <w:r>
        <w:rPr>
          <w:sz w:val="20"/>
          <w:szCs w:val="20"/>
        </w:rPr>
        <w:t>n</w:t>
      </w:r>
      <w:r w:rsidRPr="00B148DD">
        <w:rPr>
          <w:sz w:val="20"/>
          <w:szCs w:val="20"/>
        </w:rPr>
        <w:t xml:space="preserve"> </w:t>
      </w:r>
      <w:r>
        <w:rPr>
          <w:sz w:val="20"/>
          <w:szCs w:val="20"/>
        </w:rPr>
        <w:t>further</w:t>
      </w:r>
      <w:r w:rsidR="008932B2">
        <w:rPr>
          <w:sz w:val="20"/>
          <w:szCs w:val="20"/>
        </w:rPr>
        <w:t xml:space="preserve"> slowed in November 2022 from </w:t>
      </w:r>
      <w:r w:rsidR="00E77539">
        <w:rPr>
          <w:sz w:val="20"/>
          <w:szCs w:val="20"/>
        </w:rPr>
        <w:t>the</w:t>
      </w:r>
      <w:r w:rsidR="008932B2">
        <w:rPr>
          <w:sz w:val="20"/>
          <w:szCs w:val="20"/>
        </w:rPr>
        <w:t xml:space="preserve"> peak of 13.</w:t>
      </w:r>
      <w:r w:rsidR="0075529F">
        <w:rPr>
          <w:sz w:val="20"/>
          <w:szCs w:val="20"/>
        </w:rPr>
        <w:t>3</w:t>
      </w:r>
      <w:r w:rsidR="008932B2">
        <w:rPr>
          <w:sz w:val="20"/>
          <w:szCs w:val="20"/>
        </w:rPr>
        <w:t xml:space="preserve"> percent in September 2022.</w:t>
      </w:r>
      <w:r w:rsidR="00C64F08">
        <w:rPr>
          <w:sz w:val="20"/>
          <w:szCs w:val="20"/>
        </w:rPr>
        <w:t xml:space="preserve"> Headline inflation year-on-year </w:t>
      </w:r>
      <w:r w:rsidR="00732C15">
        <w:rPr>
          <w:sz w:val="20"/>
          <w:szCs w:val="20"/>
        </w:rPr>
        <w:t xml:space="preserve">decreased </w:t>
      </w:r>
      <w:r w:rsidR="00C64F08">
        <w:rPr>
          <w:sz w:val="20"/>
          <w:szCs w:val="20"/>
        </w:rPr>
        <w:t>from 13.2 percent in October 2022 to 13.0 percent in No</w:t>
      </w:r>
      <w:r w:rsidR="003E5844">
        <w:rPr>
          <w:sz w:val="20"/>
          <w:szCs w:val="20"/>
        </w:rPr>
        <w:t>vember 2022.</w:t>
      </w:r>
    </w:p>
    <w:p w14:paraId="7B6B99B4" w14:textId="4A9E7309" w:rsidR="00A45DD0" w:rsidRPr="00B148DD" w:rsidRDefault="00A45DD0" w:rsidP="00FB1ACA">
      <w:pPr>
        <w:spacing w:after="0" w:line="240" w:lineRule="auto"/>
        <w:jc w:val="both"/>
        <w:rPr>
          <w:sz w:val="20"/>
          <w:szCs w:val="20"/>
        </w:rPr>
      </w:pPr>
    </w:p>
    <w:p w14:paraId="3553E729" w14:textId="411E8B66" w:rsidR="00A45DD0" w:rsidRDefault="00292CDE" w:rsidP="00FB1ACA">
      <w:pPr>
        <w:spacing w:after="0" w:line="240" w:lineRule="auto"/>
        <w:jc w:val="both"/>
        <w:rPr>
          <w:sz w:val="20"/>
          <w:szCs w:val="20"/>
        </w:rPr>
      </w:pPr>
      <w:r w:rsidRPr="00B148DD">
        <w:rPr>
          <w:sz w:val="20"/>
          <w:szCs w:val="20"/>
        </w:rPr>
        <w:t xml:space="preserve">The </w:t>
      </w:r>
      <w:r w:rsidR="00034B6D">
        <w:rPr>
          <w:sz w:val="20"/>
          <w:szCs w:val="20"/>
        </w:rPr>
        <w:t>m</w:t>
      </w:r>
      <w:r w:rsidR="00E5328A">
        <w:rPr>
          <w:sz w:val="20"/>
          <w:szCs w:val="20"/>
        </w:rPr>
        <w:t>arginal</w:t>
      </w:r>
      <w:r w:rsidR="00034B6D">
        <w:rPr>
          <w:sz w:val="20"/>
          <w:szCs w:val="20"/>
        </w:rPr>
        <w:t xml:space="preserve"> </w:t>
      </w:r>
      <w:r w:rsidR="00E5328A">
        <w:rPr>
          <w:sz w:val="20"/>
          <w:szCs w:val="20"/>
        </w:rPr>
        <w:t xml:space="preserve">deceleration </w:t>
      </w:r>
      <w:r w:rsidR="00E5328A" w:rsidRPr="00B148DD">
        <w:rPr>
          <w:sz w:val="20"/>
          <w:szCs w:val="20"/>
        </w:rPr>
        <w:t>in</w:t>
      </w:r>
      <w:r w:rsidRPr="00B148DD">
        <w:rPr>
          <w:sz w:val="20"/>
          <w:szCs w:val="20"/>
        </w:rPr>
        <w:t xml:space="preserve"> headline inflation is </w:t>
      </w:r>
      <w:r w:rsidR="00E5328A">
        <w:rPr>
          <w:sz w:val="20"/>
          <w:szCs w:val="20"/>
        </w:rPr>
        <w:t>largely driven by</w:t>
      </w:r>
      <w:r w:rsidR="00034B6D">
        <w:rPr>
          <w:sz w:val="20"/>
          <w:szCs w:val="20"/>
        </w:rPr>
        <w:t xml:space="preserve"> </w:t>
      </w:r>
      <w:r w:rsidR="00F73162">
        <w:rPr>
          <w:sz w:val="20"/>
          <w:szCs w:val="20"/>
        </w:rPr>
        <w:t>the decline</w:t>
      </w:r>
      <w:r w:rsidR="00034B6D">
        <w:rPr>
          <w:sz w:val="20"/>
          <w:szCs w:val="20"/>
        </w:rPr>
        <w:t xml:space="preserve"> in</w:t>
      </w:r>
      <w:r w:rsidR="00F368D8">
        <w:rPr>
          <w:sz w:val="20"/>
          <w:szCs w:val="20"/>
        </w:rPr>
        <w:t xml:space="preserve"> </w:t>
      </w:r>
      <w:r w:rsidR="003E5844">
        <w:rPr>
          <w:sz w:val="20"/>
          <w:szCs w:val="20"/>
        </w:rPr>
        <w:t xml:space="preserve">food </w:t>
      </w:r>
      <w:r w:rsidR="00F368D8">
        <w:rPr>
          <w:sz w:val="20"/>
          <w:szCs w:val="20"/>
        </w:rPr>
        <w:t xml:space="preserve">inflation </w:t>
      </w:r>
      <w:r w:rsidR="00F368D8" w:rsidRPr="00F368D8">
        <w:rPr>
          <w:sz w:val="20"/>
          <w:szCs w:val="20"/>
        </w:rPr>
        <w:t>which moderated from 18.0 percent in October 2022 to 17.4 percent in November 2022.</w:t>
      </w:r>
      <w:r w:rsidR="00F368D8">
        <w:rPr>
          <w:sz w:val="20"/>
          <w:szCs w:val="20"/>
        </w:rPr>
        <w:t xml:space="preserve"> </w:t>
      </w:r>
      <w:r w:rsidR="00A933B7">
        <w:rPr>
          <w:sz w:val="20"/>
          <w:szCs w:val="20"/>
        </w:rPr>
        <w:t xml:space="preserve">The </w:t>
      </w:r>
      <w:r w:rsidR="00CB7CD9">
        <w:rPr>
          <w:sz w:val="20"/>
          <w:szCs w:val="20"/>
        </w:rPr>
        <w:t>de</w:t>
      </w:r>
      <w:r w:rsidR="00732C15">
        <w:rPr>
          <w:sz w:val="20"/>
          <w:szCs w:val="20"/>
        </w:rPr>
        <w:t>cline</w:t>
      </w:r>
      <w:r w:rsidR="00A933B7">
        <w:rPr>
          <w:sz w:val="20"/>
          <w:szCs w:val="20"/>
        </w:rPr>
        <w:t xml:space="preserve"> in food inflation mirrors </w:t>
      </w:r>
      <w:r w:rsidR="00AB6CB6">
        <w:rPr>
          <w:sz w:val="20"/>
          <w:szCs w:val="20"/>
        </w:rPr>
        <w:t>the</w:t>
      </w:r>
      <w:r w:rsidR="00CB7CD9">
        <w:rPr>
          <w:sz w:val="20"/>
          <w:szCs w:val="20"/>
        </w:rPr>
        <w:t xml:space="preserve"> decrease in the contribution from </w:t>
      </w:r>
      <w:r w:rsidR="00FD370A">
        <w:rPr>
          <w:sz w:val="20"/>
          <w:szCs w:val="20"/>
        </w:rPr>
        <w:t>milk, cheese</w:t>
      </w:r>
      <w:r w:rsidR="00A37EF1">
        <w:rPr>
          <w:sz w:val="20"/>
          <w:szCs w:val="20"/>
        </w:rPr>
        <w:t>,</w:t>
      </w:r>
      <w:r w:rsidR="00FD370A">
        <w:rPr>
          <w:sz w:val="20"/>
          <w:szCs w:val="20"/>
        </w:rPr>
        <w:t xml:space="preserve"> and eggs,</w:t>
      </w:r>
      <w:r w:rsidR="00AB6CB6">
        <w:rPr>
          <w:sz w:val="20"/>
          <w:szCs w:val="20"/>
        </w:rPr>
        <w:t xml:space="preserve"> </w:t>
      </w:r>
      <w:r w:rsidR="00FD370A">
        <w:rPr>
          <w:sz w:val="20"/>
          <w:szCs w:val="20"/>
        </w:rPr>
        <w:t>oils and fats, vegetables, root crops</w:t>
      </w:r>
      <w:r w:rsidR="00A37EF1">
        <w:rPr>
          <w:sz w:val="20"/>
          <w:szCs w:val="20"/>
        </w:rPr>
        <w:t>,</w:t>
      </w:r>
      <w:r w:rsidR="00FD370A">
        <w:rPr>
          <w:sz w:val="20"/>
          <w:szCs w:val="20"/>
        </w:rPr>
        <w:t xml:space="preserve"> and tubers.</w:t>
      </w:r>
    </w:p>
    <w:p w14:paraId="3C2FBB23" w14:textId="77777777" w:rsidR="00F368D8" w:rsidRPr="00B148DD" w:rsidRDefault="00F368D8" w:rsidP="00FB1ACA">
      <w:pPr>
        <w:spacing w:after="0" w:line="240" w:lineRule="auto"/>
        <w:jc w:val="both"/>
        <w:rPr>
          <w:sz w:val="20"/>
          <w:szCs w:val="20"/>
        </w:rPr>
      </w:pPr>
    </w:p>
    <w:p w14:paraId="7A0364E4" w14:textId="788361EA" w:rsidR="002622FF" w:rsidRDefault="00F368D8" w:rsidP="00292CDE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On the other hand,</w:t>
      </w:r>
      <w:r w:rsidR="00034B6D">
        <w:rPr>
          <w:sz w:val="20"/>
          <w:szCs w:val="20"/>
        </w:rPr>
        <w:t xml:space="preserve"> </w:t>
      </w:r>
      <w:r w:rsidR="002622FF">
        <w:rPr>
          <w:sz w:val="20"/>
          <w:szCs w:val="20"/>
        </w:rPr>
        <w:t xml:space="preserve">non-food inflation </w:t>
      </w:r>
      <w:r w:rsidR="000F2385">
        <w:rPr>
          <w:sz w:val="20"/>
          <w:szCs w:val="20"/>
        </w:rPr>
        <w:t>uptick slightly</w:t>
      </w:r>
      <w:r w:rsidR="00714670">
        <w:rPr>
          <w:sz w:val="20"/>
          <w:szCs w:val="20"/>
        </w:rPr>
        <w:t xml:space="preserve"> to 8.8 percent in November 202</w:t>
      </w:r>
      <w:r w:rsidR="00FD370A">
        <w:rPr>
          <w:sz w:val="20"/>
          <w:szCs w:val="20"/>
        </w:rPr>
        <w:t>2</w:t>
      </w:r>
      <w:r w:rsidR="00714670">
        <w:rPr>
          <w:sz w:val="20"/>
          <w:szCs w:val="20"/>
        </w:rPr>
        <w:t>, up from 8.7 percent in October 2022</w:t>
      </w:r>
      <w:r w:rsidR="00FD370A">
        <w:rPr>
          <w:sz w:val="20"/>
          <w:szCs w:val="20"/>
        </w:rPr>
        <w:t xml:space="preserve"> </w:t>
      </w:r>
      <w:r w:rsidR="00CB7CD9">
        <w:rPr>
          <w:sz w:val="20"/>
          <w:szCs w:val="20"/>
        </w:rPr>
        <w:t>on account of the surge</w:t>
      </w:r>
      <w:r w:rsidR="00FD370A">
        <w:rPr>
          <w:sz w:val="20"/>
          <w:szCs w:val="20"/>
        </w:rPr>
        <w:t xml:space="preserve"> in transportation and </w:t>
      </w:r>
      <w:r w:rsidR="00200565">
        <w:rPr>
          <w:sz w:val="20"/>
          <w:szCs w:val="20"/>
        </w:rPr>
        <w:t>e</w:t>
      </w:r>
      <w:r w:rsidR="00FD370A">
        <w:rPr>
          <w:sz w:val="20"/>
          <w:szCs w:val="20"/>
        </w:rPr>
        <w:t>ducation sub-sectors.</w:t>
      </w:r>
    </w:p>
    <w:p w14:paraId="18E47256" w14:textId="77777777" w:rsidR="00FD370A" w:rsidRDefault="00FD370A" w:rsidP="00292CDE">
      <w:pPr>
        <w:spacing w:after="0" w:line="240" w:lineRule="auto"/>
        <w:jc w:val="both"/>
        <w:rPr>
          <w:sz w:val="20"/>
          <w:szCs w:val="20"/>
        </w:rPr>
      </w:pPr>
    </w:p>
    <w:p w14:paraId="7E5B486A" w14:textId="0298E22A" w:rsidR="00292CDE" w:rsidRPr="00B148DD" w:rsidRDefault="00883751" w:rsidP="00292CDE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Further</w:t>
      </w:r>
      <w:r w:rsidR="00434955" w:rsidRPr="00B148DD">
        <w:rPr>
          <w:sz w:val="20"/>
          <w:szCs w:val="20"/>
        </w:rPr>
        <w:t xml:space="preserve"> </w:t>
      </w:r>
      <w:r w:rsidR="00292CDE" w:rsidRPr="00B148DD">
        <w:rPr>
          <w:sz w:val="20"/>
          <w:szCs w:val="20"/>
        </w:rPr>
        <w:t xml:space="preserve">analysis of </w:t>
      </w:r>
      <w:r w:rsidR="00A37EF1">
        <w:rPr>
          <w:sz w:val="20"/>
          <w:szCs w:val="20"/>
        </w:rPr>
        <w:t xml:space="preserve">the </w:t>
      </w:r>
      <w:r w:rsidR="00292CDE" w:rsidRPr="00B148DD">
        <w:rPr>
          <w:sz w:val="20"/>
          <w:szCs w:val="20"/>
        </w:rPr>
        <w:t xml:space="preserve">market and administered prices revealed that the </w:t>
      </w:r>
      <w:r>
        <w:rPr>
          <w:sz w:val="20"/>
          <w:szCs w:val="20"/>
        </w:rPr>
        <w:t>fall</w:t>
      </w:r>
      <w:r w:rsidR="00292CDE" w:rsidRPr="00B148DD">
        <w:rPr>
          <w:sz w:val="20"/>
          <w:szCs w:val="20"/>
        </w:rPr>
        <w:t xml:space="preserve"> in headline inflation (year-on-year) was </w:t>
      </w:r>
      <w:r w:rsidR="001F72B2" w:rsidRPr="00B148DD">
        <w:rPr>
          <w:sz w:val="20"/>
          <w:szCs w:val="20"/>
        </w:rPr>
        <w:t>occasioned</w:t>
      </w:r>
      <w:r w:rsidR="00292CDE" w:rsidRPr="00B148DD">
        <w:rPr>
          <w:sz w:val="20"/>
          <w:szCs w:val="20"/>
        </w:rPr>
        <w:t xml:space="preserve"> by the </w:t>
      </w:r>
      <w:r>
        <w:rPr>
          <w:sz w:val="20"/>
          <w:szCs w:val="20"/>
        </w:rPr>
        <w:t>drop</w:t>
      </w:r>
      <w:r w:rsidR="00292CDE" w:rsidRPr="00B148DD">
        <w:rPr>
          <w:sz w:val="20"/>
          <w:szCs w:val="20"/>
        </w:rPr>
        <w:t xml:space="preserve"> in the contribution of market-determined prices.</w:t>
      </w:r>
    </w:p>
    <w:p w14:paraId="2B0822AA" w14:textId="77777777" w:rsidR="00D73844" w:rsidRPr="00B148DD" w:rsidRDefault="00D73844" w:rsidP="00FB1ACA">
      <w:pPr>
        <w:spacing w:after="0" w:line="240" w:lineRule="auto"/>
        <w:jc w:val="both"/>
        <w:rPr>
          <w:sz w:val="20"/>
          <w:szCs w:val="20"/>
        </w:rPr>
      </w:pPr>
    </w:p>
    <w:p w14:paraId="2A76E3DB" w14:textId="1CF0F3F6" w:rsidR="000F2385" w:rsidRDefault="002622FF" w:rsidP="00C76169">
      <w:pPr>
        <w:spacing w:after="0" w:line="240" w:lineRule="auto"/>
        <w:jc w:val="both"/>
        <w:rPr>
          <w:sz w:val="20"/>
          <w:szCs w:val="20"/>
        </w:rPr>
      </w:pPr>
      <w:r w:rsidRPr="002622FF">
        <w:rPr>
          <w:sz w:val="20"/>
          <w:szCs w:val="20"/>
        </w:rPr>
        <w:t>Core</w:t>
      </w:r>
      <w:r>
        <w:t xml:space="preserve"> 1 </w:t>
      </w:r>
      <w:r w:rsidRPr="002622FF">
        <w:rPr>
          <w:sz w:val="20"/>
          <w:szCs w:val="20"/>
        </w:rPr>
        <w:t>inflation, which excludes energy, fuel, and utilities revealed a decrease in underlying inflation from 18.7</w:t>
      </w:r>
      <w:r w:rsidR="00FD370A">
        <w:rPr>
          <w:sz w:val="20"/>
          <w:szCs w:val="20"/>
        </w:rPr>
        <w:t xml:space="preserve"> </w:t>
      </w:r>
      <w:r w:rsidRPr="002622FF">
        <w:rPr>
          <w:sz w:val="20"/>
          <w:szCs w:val="20"/>
        </w:rPr>
        <w:t xml:space="preserve">percent in October 2022 to 18.5 percent as of the end-November 2022. In contrast, Core 2 inflation, which further excludes volatile food items </w:t>
      </w:r>
      <w:r w:rsidR="00FD370A" w:rsidRPr="002622FF">
        <w:rPr>
          <w:sz w:val="20"/>
          <w:szCs w:val="20"/>
        </w:rPr>
        <w:t>exhibi</w:t>
      </w:r>
      <w:r w:rsidR="00FD370A">
        <w:rPr>
          <w:sz w:val="20"/>
          <w:szCs w:val="20"/>
        </w:rPr>
        <w:t>t</w:t>
      </w:r>
      <w:r w:rsidR="00A37EF1">
        <w:rPr>
          <w:sz w:val="20"/>
          <w:szCs w:val="20"/>
        </w:rPr>
        <w:t>ed</w:t>
      </w:r>
      <w:r w:rsidRPr="002622FF">
        <w:rPr>
          <w:sz w:val="20"/>
          <w:szCs w:val="20"/>
        </w:rPr>
        <w:t xml:space="preserve"> </w:t>
      </w:r>
      <w:r w:rsidR="00E77539" w:rsidRPr="002622FF">
        <w:rPr>
          <w:sz w:val="20"/>
          <w:szCs w:val="20"/>
        </w:rPr>
        <w:t>a</w:t>
      </w:r>
      <w:r w:rsidR="00E77539">
        <w:rPr>
          <w:sz w:val="20"/>
          <w:szCs w:val="20"/>
        </w:rPr>
        <w:t xml:space="preserve">n </w:t>
      </w:r>
      <w:r w:rsidR="00E77539" w:rsidRPr="002622FF">
        <w:rPr>
          <w:sz w:val="20"/>
          <w:szCs w:val="20"/>
        </w:rPr>
        <w:t>increase</w:t>
      </w:r>
      <w:r w:rsidRPr="002622FF">
        <w:rPr>
          <w:sz w:val="20"/>
          <w:szCs w:val="20"/>
        </w:rPr>
        <w:t xml:space="preserve"> from 17.3 percent in October 2022 to 17.9 percent as of the end-November 2022</w:t>
      </w:r>
      <w:r w:rsidR="006A69BE">
        <w:rPr>
          <w:sz w:val="20"/>
          <w:szCs w:val="20"/>
        </w:rPr>
        <w:t xml:space="preserve"> suggesting</w:t>
      </w:r>
      <w:r w:rsidR="00C86E2F">
        <w:rPr>
          <w:sz w:val="20"/>
          <w:szCs w:val="20"/>
        </w:rPr>
        <w:t xml:space="preserve"> </w:t>
      </w:r>
      <w:r w:rsidR="00A37EF1">
        <w:rPr>
          <w:sz w:val="20"/>
          <w:szCs w:val="20"/>
        </w:rPr>
        <w:t xml:space="preserve">that </w:t>
      </w:r>
      <w:r w:rsidR="00A37EF1">
        <w:rPr>
          <w:sz w:val="20"/>
          <w:szCs w:val="20"/>
        </w:rPr>
        <w:t>inflation</w:t>
      </w:r>
      <w:r w:rsidR="00A37EF1">
        <w:rPr>
          <w:sz w:val="20"/>
          <w:szCs w:val="20"/>
        </w:rPr>
        <w:t xml:space="preserve"> is </w:t>
      </w:r>
      <w:r w:rsidR="00C86E2F">
        <w:rPr>
          <w:sz w:val="20"/>
          <w:szCs w:val="20"/>
        </w:rPr>
        <w:t xml:space="preserve">more </w:t>
      </w:r>
      <w:r w:rsidR="00826F6B">
        <w:rPr>
          <w:sz w:val="20"/>
          <w:szCs w:val="20"/>
        </w:rPr>
        <w:t>broad-based than</w:t>
      </w:r>
      <w:r w:rsidR="00CC4CD3">
        <w:rPr>
          <w:sz w:val="20"/>
          <w:szCs w:val="20"/>
        </w:rPr>
        <w:t xml:space="preserve"> in the recent </w:t>
      </w:r>
      <w:r w:rsidR="000F2385">
        <w:rPr>
          <w:sz w:val="20"/>
          <w:szCs w:val="20"/>
        </w:rPr>
        <w:t>past</w:t>
      </w:r>
      <w:r w:rsidR="000F2385" w:rsidRPr="002622FF">
        <w:rPr>
          <w:sz w:val="20"/>
          <w:szCs w:val="20"/>
        </w:rPr>
        <w:t>.</w:t>
      </w:r>
      <w:r w:rsidR="000F2385" w:rsidRPr="00B148DD">
        <w:rPr>
          <w:sz w:val="20"/>
          <w:szCs w:val="20"/>
        </w:rPr>
        <w:t xml:space="preserve"> </w:t>
      </w:r>
    </w:p>
    <w:p w14:paraId="38B02B13" w14:textId="77777777" w:rsidR="000F2385" w:rsidRDefault="000F2385" w:rsidP="00C76169">
      <w:pPr>
        <w:spacing w:after="0" w:line="240" w:lineRule="auto"/>
        <w:jc w:val="both"/>
        <w:rPr>
          <w:sz w:val="20"/>
          <w:szCs w:val="20"/>
        </w:rPr>
      </w:pPr>
    </w:p>
    <w:p w14:paraId="7DA2ECD2" w14:textId="48D9142D" w:rsidR="001F7A7E" w:rsidRPr="00F73162" w:rsidRDefault="000F2385" w:rsidP="00C76169">
      <w:pPr>
        <w:spacing w:after="0" w:line="240" w:lineRule="auto"/>
        <w:jc w:val="both"/>
        <w:rPr>
          <w:sz w:val="20"/>
          <w:szCs w:val="20"/>
        </w:rPr>
      </w:pPr>
      <w:r w:rsidRPr="00B148DD">
        <w:rPr>
          <w:sz w:val="20"/>
          <w:szCs w:val="20"/>
        </w:rPr>
        <w:t>Consumer</w:t>
      </w:r>
      <w:r w:rsidR="00292CDE" w:rsidRPr="00B148DD">
        <w:rPr>
          <w:sz w:val="20"/>
          <w:szCs w:val="20"/>
        </w:rPr>
        <w:t xml:space="preserve"> price inflation</w:t>
      </w:r>
      <w:r w:rsidR="00EF4A90">
        <w:rPr>
          <w:sz w:val="20"/>
          <w:szCs w:val="20"/>
        </w:rPr>
        <w:t xml:space="preserve"> month-on-mont</w:t>
      </w:r>
      <w:r w:rsidR="00E77539">
        <w:rPr>
          <w:sz w:val="20"/>
          <w:szCs w:val="20"/>
        </w:rPr>
        <w:t>h</w:t>
      </w:r>
      <w:r w:rsidR="00292CDE" w:rsidRPr="00B148DD">
        <w:rPr>
          <w:sz w:val="20"/>
          <w:szCs w:val="20"/>
        </w:rPr>
        <w:t xml:space="preserve"> </w:t>
      </w:r>
      <w:r w:rsidR="004B1DD2">
        <w:rPr>
          <w:sz w:val="20"/>
          <w:szCs w:val="20"/>
        </w:rPr>
        <w:t xml:space="preserve">also </w:t>
      </w:r>
      <w:r w:rsidR="004D3492">
        <w:rPr>
          <w:sz w:val="20"/>
          <w:szCs w:val="20"/>
        </w:rPr>
        <w:t xml:space="preserve">decelerated </w:t>
      </w:r>
      <w:r w:rsidR="00A27F51">
        <w:rPr>
          <w:sz w:val="20"/>
          <w:szCs w:val="20"/>
        </w:rPr>
        <w:t xml:space="preserve">to </w:t>
      </w:r>
      <w:r w:rsidR="00A27F51" w:rsidRPr="00B148DD">
        <w:rPr>
          <w:sz w:val="20"/>
          <w:szCs w:val="20"/>
        </w:rPr>
        <w:t>0.2</w:t>
      </w:r>
      <w:r w:rsidR="00292CDE" w:rsidRPr="00B148DD">
        <w:rPr>
          <w:sz w:val="20"/>
          <w:szCs w:val="20"/>
        </w:rPr>
        <w:t xml:space="preserve"> percent in </w:t>
      </w:r>
      <w:r w:rsidR="00714670">
        <w:rPr>
          <w:sz w:val="20"/>
          <w:szCs w:val="20"/>
        </w:rPr>
        <w:t xml:space="preserve">November </w:t>
      </w:r>
      <w:r w:rsidR="00292CDE" w:rsidRPr="00B148DD">
        <w:rPr>
          <w:sz w:val="20"/>
          <w:szCs w:val="20"/>
        </w:rPr>
        <w:t>2022 from</w:t>
      </w:r>
      <w:r w:rsidR="009D3A03" w:rsidRPr="00B148DD">
        <w:rPr>
          <w:sz w:val="20"/>
          <w:szCs w:val="20"/>
        </w:rPr>
        <w:t xml:space="preserve"> </w:t>
      </w:r>
      <w:r w:rsidR="00714670">
        <w:rPr>
          <w:sz w:val="20"/>
          <w:szCs w:val="20"/>
        </w:rPr>
        <w:t xml:space="preserve">1.1 </w:t>
      </w:r>
      <w:r w:rsidR="00292CDE" w:rsidRPr="00B148DD">
        <w:rPr>
          <w:sz w:val="20"/>
          <w:szCs w:val="20"/>
        </w:rPr>
        <w:t xml:space="preserve">percent in </w:t>
      </w:r>
      <w:r w:rsidR="00714670">
        <w:rPr>
          <w:sz w:val="20"/>
          <w:szCs w:val="20"/>
        </w:rPr>
        <w:t>October</w:t>
      </w:r>
      <w:r w:rsidR="00292CDE" w:rsidRPr="00B148DD">
        <w:rPr>
          <w:sz w:val="20"/>
          <w:szCs w:val="20"/>
        </w:rPr>
        <w:t xml:space="preserve"> 2022, driven mainly by the</w:t>
      </w:r>
      <w:r w:rsidR="004D3492">
        <w:rPr>
          <w:sz w:val="20"/>
          <w:szCs w:val="20"/>
        </w:rPr>
        <w:t xml:space="preserve"> </w:t>
      </w:r>
      <w:r w:rsidR="00A34501">
        <w:rPr>
          <w:sz w:val="20"/>
          <w:szCs w:val="20"/>
        </w:rPr>
        <w:t>slowdown in food inflation.</w:t>
      </w:r>
    </w:p>
    <w:p w14:paraId="560B1D54" w14:textId="77777777" w:rsidR="00AF4108" w:rsidRPr="00F73162" w:rsidRDefault="00AF4108">
      <w:pPr>
        <w:spacing w:after="0" w:line="240" w:lineRule="auto"/>
        <w:jc w:val="both"/>
        <w:rPr>
          <w:sz w:val="20"/>
          <w:szCs w:val="20"/>
        </w:rPr>
      </w:pPr>
    </w:p>
    <w:sectPr w:rsidR="00AF4108" w:rsidRPr="00F73162" w:rsidSect="00292CDE">
      <w:type w:val="continuous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A35E9" w14:textId="77777777" w:rsidR="006A0971" w:rsidRDefault="006A0971" w:rsidP="006173DC">
      <w:pPr>
        <w:spacing w:after="0" w:line="240" w:lineRule="auto"/>
      </w:pPr>
      <w:r>
        <w:separator/>
      </w:r>
    </w:p>
  </w:endnote>
  <w:endnote w:type="continuationSeparator" w:id="0">
    <w:p w14:paraId="164EE1BC" w14:textId="77777777" w:rsidR="006A0971" w:rsidRDefault="006A0971" w:rsidP="006173DC">
      <w:pPr>
        <w:spacing w:after="0" w:line="240" w:lineRule="auto"/>
      </w:pPr>
      <w:r>
        <w:continuationSeparator/>
      </w:r>
    </w:p>
  </w:endnote>
  <w:endnote w:type="continuationNotice" w:id="1">
    <w:p w14:paraId="2D56797E" w14:textId="77777777" w:rsidR="006A0971" w:rsidRDefault="006A0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D6B" w14:textId="32A7BC12" w:rsidR="00AD3DA1" w:rsidRPr="005E58E5" w:rsidRDefault="00AD3DA1">
    <w:pPr>
      <w:pStyle w:val="Footer"/>
      <w:rPr>
        <w:noProof/>
        <w:color w:val="002060"/>
      </w:rPr>
    </w:pPr>
    <w:r w:rsidRPr="005E58E5">
      <w:rPr>
        <w:noProof/>
        <w:color w:val="002060"/>
      </w:rPr>
      <w:drawing>
        <wp:anchor distT="0" distB="0" distL="114300" distR="114300" simplePos="0" relativeHeight="251658240" behindDoc="0" locked="0" layoutInCell="1" allowOverlap="1" wp14:anchorId="607C7A70" wp14:editId="7E530ED4">
          <wp:simplePos x="0" y="0"/>
          <wp:positionH relativeFrom="column">
            <wp:posOffset>5121419</wp:posOffset>
          </wp:positionH>
          <wp:positionV relativeFrom="paragraph">
            <wp:posOffset>-122032</wp:posOffset>
          </wp:positionV>
          <wp:extent cx="699452" cy="565785"/>
          <wp:effectExtent l="0" t="0" r="571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lum contrast="7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921" r="12001"/>
                  <a:stretch/>
                </pic:blipFill>
                <pic:spPr bwMode="auto">
                  <a:xfrm>
                    <a:off x="0" y="0"/>
                    <a:ext cx="699452" cy="565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58E5">
      <w:rPr>
        <w:color w:val="002060"/>
      </w:rPr>
      <w:t>Economic Research Department</w:t>
    </w:r>
  </w:p>
  <w:p w14:paraId="7AB70CD6" w14:textId="05B6F1F1" w:rsidR="00AD3DA1" w:rsidRPr="005E58E5" w:rsidRDefault="00AD3DA1">
    <w:pPr>
      <w:pStyle w:val="Footer"/>
      <w:rPr>
        <w:color w:val="002060"/>
        <w:sz w:val="16"/>
        <w:szCs w:val="16"/>
      </w:rPr>
    </w:pPr>
    <w:r w:rsidRPr="005E58E5">
      <w:rPr>
        <w:color w:val="002060"/>
      </w:rPr>
      <w:t>CENTRAL BANK OF THE GAMBIA</w:t>
    </w:r>
    <w:r w:rsidRPr="005E58E5">
      <w:rPr>
        <w:color w:val="002060"/>
        <w:sz w:val="16"/>
        <w:szCs w:val="16"/>
      </w:rPr>
      <w:tab/>
    </w:r>
    <w:r w:rsidRPr="005E58E5">
      <w:rPr>
        <w:color w:val="002060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43F6C" w14:textId="77777777" w:rsidR="006A0971" w:rsidRDefault="006A0971" w:rsidP="006173DC">
      <w:pPr>
        <w:spacing w:after="0" w:line="240" w:lineRule="auto"/>
      </w:pPr>
      <w:r>
        <w:separator/>
      </w:r>
    </w:p>
  </w:footnote>
  <w:footnote w:type="continuationSeparator" w:id="0">
    <w:p w14:paraId="60908196" w14:textId="77777777" w:rsidR="006A0971" w:rsidRDefault="006A0971" w:rsidP="006173DC">
      <w:pPr>
        <w:spacing w:after="0" w:line="240" w:lineRule="auto"/>
      </w:pPr>
      <w:r>
        <w:continuationSeparator/>
      </w:r>
    </w:p>
  </w:footnote>
  <w:footnote w:type="continuationNotice" w:id="1">
    <w:p w14:paraId="76A049F6" w14:textId="77777777" w:rsidR="006A0971" w:rsidRDefault="006A097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A0MTGxMLI0NTEyMzRS0lEKTi0uzszPAykwNqwFAHqbWMUtAAAA"/>
  </w:docVars>
  <w:rsids>
    <w:rsidRoot w:val="001F7A7E"/>
    <w:rsid w:val="000042B2"/>
    <w:rsid w:val="00004E13"/>
    <w:rsid w:val="000111FF"/>
    <w:rsid w:val="00015A61"/>
    <w:rsid w:val="000223A4"/>
    <w:rsid w:val="00022E86"/>
    <w:rsid w:val="00023BD6"/>
    <w:rsid w:val="0002422E"/>
    <w:rsid w:val="000267E2"/>
    <w:rsid w:val="000272F9"/>
    <w:rsid w:val="000301D1"/>
    <w:rsid w:val="00031B1F"/>
    <w:rsid w:val="000321BB"/>
    <w:rsid w:val="000340C8"/>
    <w:rsid w:val="000340F6"/>
    <w:rsid w:val="00034B6D"/>
    <w:rsid w:val="0003638C"/>
    <w:rsid w:val="00041350"/>
    <w:rsid w:val="00055488"/>
    <w:rsid w:val="00057873"/>
    <w:rsid w:val="00060DBF"/>
    <w:rsid w:val="00060F0B"/>
    <w:rsid w:val="000713BF"/>
    <w:rsid w:val="000723DD"/>
    <w:rsid w:val="00076526"/>
    <w:rsid w:val="00077688"/>
    <w:rsid w:val="0008144E"/>
    <w:rsid w:val="00090E5D"/>
    <w:rsid w:val="000A2658"/>
    <w:rsid w:val="000A3EFB"/>
    <w:rsid w:val="000A5662"/>
    <w:rsid w:val="000B0426"/>
    <w:rsid w:val="000B3D38"/>
    <w:rsid w:val="000C5822"/>
    <w:rsid w:val="000C6F6A"/>
    <w:rsid w:val="000E0BFE"/>
    <w:rsid w:val="000F01DA"/>
    <w:rsid w:val="000F062B"/>
    <w:rsid w:val="000F2385"/>
    <w:rsid w:val="00115B72"/>
    <w:rsid w:val="001203E6"/>
    <w:rsid w:val="00124D2B"/>
    <w:rsid w:val="001357BA"/>
    <w:rsid w:val="00157031"/>
    <w:rsid w:val="00174986"/>
    <w:rsid w:val="00176F91"/>
    <w:rsid w:val="00177FDC"/>
    <w:rsid w:val="00180CF7"/>
    <w:rsid w:val="001949EE"/>
    <w:rsid w:val="00195231"/>
    <w:rsid w:val="001A18F1"/>
    <w:rsid w:val="001A5B2D"/>
    <w:rsid w:val="001B07C0"/>
    <w:rsid w:val="001B720A"/>
    <w:rsid w:val="001C140C"/>
    <w:rsid w:val="001C56E1"/>
    <w:rsid w:val="001D028D"/>
    <w:rsid w:val="001D105C"/>
    <w:rsid w:val="001D2DCD"/>
    <w:rsid w:val="001D73B9"/>
    <w:rsid w:val="001E772E"/>
    <w:rsid w:val="001F42EF"/>
    <w:rsid w:val="001F72B2"/>
    <w:rsid w:val="001F7A7E"/>
    <w:rsid w:val="00200565"/>
    <w:rsid w:val="00200CF3"/>
    <w:rsid w:val="00217243"/>
    <w:rsid w:val="00224808"/>
    <w:rsid w:val="002271FE"/>
    <w:rsid w:val="002423E1"/>
    <w:rsid w:val="00242E3A"/>
    <w:rsid w:val="00245651"/>
    <w:rsid w:val="0024634F"/>
    <w:rsid w:val="002622FF"/>
    <w:rsid w:val="002743D1"/>
    <w:rsid w:val="00274720"/>
    <w:rsid w:val="002751F9"/>
    <w:rsid w:val="00275776"/>
    <w:rsid w:val="00277877"/>
    <w:rsid w:val="00292CDE"/>
    <w:rsid w:val="002939BE"/>
    <w:rsid w:val="002A6836"/>
    <w:rsid w:val="002C59BB"/>
    <w:rsid w:val="002C7AEC"/>
    <w:rsid w:val="002D285F"/>
    <w:rsid w:val="002D6D8E"/>
    <w:rsid w:val="002E3109"/>
    <w:rsid w:val="002E3FEB"/>
    <w:rsid w:val="002E6190"/>
    <w:rsid w:val="002E692E"/>
    <w:rsid w:val="00305B4B"/>
    <w:rsid w:val="0031463C"/>
    <w:rsid w:val="0032583E"/>
    <w:rsid w:val="0032653C"/>
    <w:rsid w:val="00327FF8"/>
    <w:rsid w:val="00331457"/>
    <w:rsid w:val="00333399"/>
    <w:rsid w:val="00336BB3"/>
    <w:rsid w:val="00344F45"/>
    <w:rsid w:val="00345CB6"/>
    <w:rsid w:val="003546E7"/>
    <w:rsid w:val="00354F41"/>
    <w:rsid w:val="003674EA"/>
    <w:rsid w:val="003718E8"/>
    <w:rsid w:val="0037598E"/>
    <w:rsid w:val="00382957"/>
    <w:rsid w:val="00390074"/>
    <w:rsid w:val="003958E1"/>
    <w:rsid w:val="003A3A12"/>
    <w:rsid w:val="003B14F5"/>
    <w:rsid w:val="003B6E32"/>
    <w:rsid w:val="003C1EAA"/>
    <w:rsid w:val="003C35A2"/>
    <w:rsid w:val="003C4A14"/>
    <w:rsid w:val="003C7B69"/>
    <w:rsid w:val="003E3CDD"/>
    <w:rsid w:val="003E5844"/>
    <w:rsid w:val="003F7F7D"/>
    <w:rsid w:val="00406515"/>
    <w:rsid w:val="00411016"/>
    <w:rsid w:val="0041483C"/>
    <w:rsid w:val="00422D68"/>
    <w:rsid w:val="00424D11"/>
    <w:rsid w:val="00433188"/>
    <w:rsid w:val="00434955"/>
    <w:rsid w:val="0044318E"/>
    <w:rsid w:val="00450813"/>
    <w:rsid w:val="00455793"/>
    <w:rsid w:val="00460C30"/>
    <w:rsid w:val="0047064B"/>
    <w:rsid w:val="00474CEE"/>
    <w:rsid w:val="00481BD6"/>
    <w:rsid w:val="004831D3"/>
    <w:rsid w:val="0048477E"/>
    <w:rsid w:val="004B1DD2"/>
    <w:rsid w:val="004C1743"/>
    <w:rsid w:val="004C7EE0"/>
    <w:rsid w:val="004D3492"/>
    <w:rsid w:val="004D44F6"/>
    <w:rsid w:val="004D4947"/>
    <w:rsid w:val="004D75C0"/>
    <w:rsid w:val="004E3752"/>
    <w:rsid w:val="004E43FF"/>
    <w:rsid w:val="004E53EF"/>
    <w:rsid w:val="004F40C3"/>
    <w:rsid w:val="004F6000"/>
    <w:rsid w:val="005037D1"/>
    <w:rsid w:val="00507B28"/>
    <w:rsid w:val="00513370"/>
    <w:rsid w:val="00515B7C"/>
    <w:rsid w:val="00532D06"/>
    <w:rsid w:val="00545FFC"/>
    <w:rsid w:val="00554969"/>
    <w:rsid w:val="005560CF"/>
    <w:rsid w:val="005572B7"/>
    <w:rsid w:val="0056200D"/>
    <w:rsid w:val="00562016"/>
    <w:rsid w:val="005726E0"/>
    <w:rsid w:val="00576FE9"/>
    <w:rsid w:val="005828F9"/>
    <w:rsid w:val="00583FDE"/>
    <w:rsid w:val="00587020"/>
    <w:rsid w:val="00591520"/>
    <w:rsid w:val="00591547"/>
    <w:rsid w:val="0059513A"/>
    <w:rsid w:val="005962B2"/>
    <w:rsid w:val="005974A5"/>
    <w:rsid w:val="005A4B3E"/>
    <w:rsid w:val="005A4F24"/>
    <w:rsid w:val="005B0FF4"/>
    <w:rsid w:val="005B354D"/>
    <w:rsid w:val="005B4E54"/>
    <w:rsid w:val="005C18EE"/>
    <w:rsid w:val="005C5C5A"/>
    <w:rsid w:val="005D4BC8"/>
    <w:rsid w:val="005E58E5"/>
    <w:rsid w:val="005E690A"/>
    <w:rsid w:val="005E6938"/>
    <w:rsid w:val="005F2138"/>
    <w:rsid w:val="005F6C5C"/>
    <w:rsid w:val="005F7120"/>
    <w:rsid w:val="005F71BB"/>
    <w:rsid w:val="005F738B"/>
    <w:rsid w:val="0060461F"/>
    <w:rsid w:val="006107DA"/>
    <w:rsid w:val="00613A34"/>
    <w:rsid w:val="006173DC"/>
    <w:rsid w:val="006217BE"/>
    <w:rsid w:val="006244F1"/>
    <w:rsid w:val="006263CB"/>
    <w:rsid w:val="006407D0"/>
    <w:rsid w:val="00641084"/>
    <w:rsid w:val="00645EF2"/>
    <w:rsid w:val="00647ADB"/>
    <w:rsid w:val="0065202E"/>
    <w:rsid w:val="006713EF"/>
    <w:rsid w:val="00681E40"/>
    <w:rsid w:val="00683A1E"/>
    <w:rsid w:val="00686165"/>
    <w:rsid w:val="006972E8"/>
    <w:rsid w:val="006A00EB"/>
    <w:rsid w:val="006A0971"/>
    <w:rsid w:val="006A2898"/>
    <w:rsid w:val="006A2DCF"/>
    <w:rsid w:val="006A69BE"/>
    <w:rsid w:val="006A7BB4"/>
    <w:rsid w:val="006B05D3"/>
    <w:rsid w:val="006C682B"/>
    <w:rsid w:val="006C6B38"/>
    <w:rsid w:val="006D1C3C"/>
    <w:rsid w:val="006E1DCA"/>
    <w:rsid w:val="006E3FE2"/>
    <w:rsid w:val="006E4D7C"/>
    <w:rsid w:val="006F0881"/>
    <w:rsid w:val="006F2CBE"/>
    <w:rsid w:val="006F3292"/>
    <w:rsid w:val="006F3DCE"/>
    <w:rsid w:val="0070010D"/>
    <w:rsid w:val="00704C6B"/>
    <w:rsid w:val="0070773C"/>
    <w:rsid w:val="00712675"/>
    <w:rsid w:val="007127E2"/>
    <w:rsid w:val="00714670"/>
    <w:rsid w:val="00720FB4"/>
    <w:rsid w:val="00723B7B"/>
    <w:rsid w:val="007317FD"/>
    <w:rsid w:val="00732C15"/>
    <w:rsid w:val="00735138"/>
    <w:rsid w:val="0075529F"/>
    <w:rsid w:val="00755D47"/>
    <w:rsid w:val="00756CB1"/>
    <w:rsid w:val="007603E9"/>
    <w:rsid w:val="00765DDD"/>
    <w:rsid w:val="00774B86"/>
    <w:rsid w:val="00780552"/>
    <w:rsid w:val="00784907"/>
    <w:rsid w:val="00785CC0"/>
    <w:rsid w:val="00786910"/>
    <w:rsid w:val="00786A9C"/>
    <w:rsid w:val="00786EC5"/>
    <w:rsid w:val="00787607"/>
    <w:rsid w:val="00792180"/>
    <w:rsid w:val="00794467"/>
    <w:rsid w:val="007A36FD"/>
    <w:rsid w:val="007A4B99"/>
    <w:rsid w:val="007A5B10"/>
    <w:rsid w:val="007A5EBB"/>
    <w:rsid w:val="007A7CB1"/>
    <w:rsid w:val="007B5EE9"/>
    <w:rsid w:val="007C1E48"/>
    <w:rsid w:val="007C25BD"/>
    <w:rsid w:val="007C3A37"/>
    <w:rsid w:val="007D520F"/>
    <w:rsid w:val="007E00E2"/>
    <w:rsid w:val="007E5F52"/>
    <w:rsid w:val="007F758F"/>
    <w:rsid w:val="0080007E"/>
    <w:rsid w:val="008005CC"/>
    <w:rsid w:val="008049F8"/>
    <w:rsid w:val="00811493"/>
    <w:rsid w:val="008148EE"/>
    <w:rsid w:val="00816211"/>
    <w:rsid w:val="00820BCC"/>
    <w:rsid w:val="00823D3F"/>
    <w:rsid w:val="00824DA1"/>
    <w:rsid w:val="00826F6B"/>
    <w:rsid w:val="008300F6"/>
    <w:rsid w:val="00831E96"/>
    <w:rsid w:val="0083430D"/>
    <w:rsid w:val="008379AF"/>
    <w:rsid w:val="008422D4"/>
    <w:rsid w:val="00845751"/>
    <w:rsid w:val="00850352"/>
    <w:rsid w:val="00850D0E"/>
    <w:rsid w:val="00850F26"/>
    <w:rsid w:val="00857CA1"/>
    <w:rsid w:val="00862753"/>
    <w:rsid w:val="00864480"/>
    <w:rsid w:val="008654EA"/>
    <w:rsid w:val="00874650"/>
    <w:rsid w:val="00882DA6"/>
    <w:rsid w:val="00883751"/>
    <w:rsid w:val="00887877"/>
    <w:rsid w:val="00890417"/>
    <w:rsid w:val="00891EA3"/>
    <w:rsid w:val="008932B2"/>
    <w:rsid w:val="008A6096"/>
    <w:rsid w:val="008B0F7E"/>
    <w:rsid w:val="008B48A7"/>
    <w:rsid w:val="008B51F1"/>
    <w:rsid w:val="008D23C0"/>
    <w:rsid w:val="008D254A"/>
    <w:rsid w:val="008E1CD1"/>
    <w:rsid w:val="008E5362"/>
    <w:rsid w:val="008E57E4"/>
    <w:rsid w:val="008E6670"/>
    <w:rsid w:val="008F54D7"/>
    <w:rsid w:val="009002DF"/>
    <w:rsid w:val="00912BD9"/>
    <w:rsid w:val="00916462"/>
    <w:rsid w:val="00925F27"/>
    <w:rsid w:val="00926931"/>
    <w:rsid w:val="00935184"/>
    <w:rsid w:val="00940A64"/>
    <w:rsid w:val="0095061D"/>
    <w:rsid w:val="00950684"/>
    <w:rsid w:val="00951CD4"/>
    <w:rsid w:val="0095302A"/>
    <w:rsid w:val="009538C0"/>
    <w:rsid w:val="00962F4E"/>
    <w:rsid w:val="009630DF"/>
    <w:rsid w:val="00967B13"/>
    <w:rsid w:val="009738C4"/>
    <w:rsid w:val="00974A5E"/>
    <w:rsid w:val="00983262"/>
    <w:rsid w:val="0098381F"/>
    <w:rsid w:val="00992C4D"/>
    <w:rsid w:val="00992F5D"/>
    <w:rsid w:val="00994619"/>
    <w:rsid w:val="009B1551"/>
    <w:rsid w:val="009B1931"/>
    <w:rsid w:val="009B7999"/>
    <w:rsid w:val="009C1223"/>
    <w:rsid w:val="009C4F8D"/>
    <w:rsid w:val="009C557D"/>
    <w:rsid w:val="009C56D2"/>
    <w:rsid w:val="009D3A03"/>
    <w:rsid w:val="009D75F3"/>
    <w:rsid w:val="009E7603"/>
    <w:rsid w:val="009F3FBA"/>
    <w:rsid w:val="009F58D0"/>
    <w:rsid w:val="00A056FF"/>
    <w:rsid w:val="00A16C69"/>
    <w:rsid w:val="00A21B1A"/>
    <w:rsid w:val="00A27F51"/>
    <w:rsid w:val="00A34501"/>
    <w:rsid w:val="00A37EF1"/>
    <w:rsid w:val="00A41849"/>
    <w:rsid w:val="00A45DD0"/>
    <w:rsid w:val="00A55ED1"/>
    <w:rsid w:val="00A60C94"/>
    <w:rsid w:val="00A7116A"/>
    <w:rsid w:val="00A7278D"/>
    <w:rsid w:val="00A76040"/>
    <w:rsid w:val="00A82F77"/>
    <w:rsid w:val="00A90ECD"/>
    <w:rsid w:val="00A91F4F"/>
    <w:rsid w:val="00A933B7"/>
    <w:rsid w:val="00A9682B"/>
    <w:rsid w:val="00AA1182"/>
    <w:rsid w:val="00AB413B"/>
    <w:rsid w:val="00AB6CB6"/>
    <w:rsid w:val="00AC1D84"/>
    <w:rsid w:val="00AC5261"/>
    <w:rsid w:val="00AC67CA"/>
    <w:rsid w:val="00AC7427"/>
    <w:rsid w:val="00AD3DA1"/>
    <w:rsid w:val="00AE3A76"/>
    <w:rsid w:val="00AE3D18"/>
    <w:rsid w:val="00AF2010"/>
    <w:rsid w:val="00AF4108"/>
    <w:rsid w:val="00B0165C"/>
    <w:rsid w:val="00B024E5"/>
    <w:rsid w:val="00B02CFA"/>
    <w:rsid w:val="00B10547"/>
    <w:rsid w:val="00B148DD"/>
    <w:rsid w:val="00B161C7"/>
    <w:rsid w:val="00B3138F"/>
    <w:rsid w:val="00B344F1"/>
    <w:rsid w:val="00B34E17"/>
    <w:rsid w:val="00B36A28"/>
    <w:rsid w:val="00B37EF1"/>
    <w:rsid w:val="00B4095F"/>
    <w:rsid w:val="00B46B3B"/>
    <w:rsid w:val="00B50B77"/>
    <w:rsid w:val="00B6534A"/>
    <w:rsid w:val="00B72467"/>
    <w:rsid w:val="00B72D06"/>
    <w:rsid w:val="00B737AA"/>
    <w:rsid w:val="00B8101F"/>
    <w:rsid w:val="00B90001"/>
    <w:rsid w:val="00B93205"/>
    <w:rsid w:val="00BA3CF7"/>
    <w:rsid w:val="00BB0360"/>
    <w:rsid w:val="00BC7EE8"/>
    <w:rsid w:val="00BD36D6"/>
    <w:rsid w:val="00BD5FFB"/>
    <w:rsid w:val="00BD7923"/>
    <w:rsid w:val="00BE39B0"/>
    <w:rsid w:val="00BE59BC"/>
    <w:rsid w:val="00BE724A"/>
    <w:rsid w:val="00BE7DD1"/>
    <w:rsid w:val="00C06F2A"/>
    <w:rsid w:val="00C114B1"/>
    <w:rsid w:val="00C141D6"/>
    <w:rsid w:val="00C21767"/>
    <w:rsid w:val="00C2293F"/>
    <w:rsid w:val="00C2430D"/>
    <w:rsid w:val="00C269C2"/>
    <w:rsid w:val="00C27C4E"/>
    <w:rsid w:val="00C32160"/>
    <w:rsid w:val="00C57CBC"/>
    <w:rsid w:val="00C64F08"/>
    <w:rsid w:val="00C76169"/>
    <w:rsid w:val="00C76BC2"/>
    <w:rsid w:val="00C86476"/>
    <w:rsid w:val="00C86E2F"/>
    <w:rsid w:val="00C87A0F"/>
    <w:rsid w:val="00C911E9"/>
    <w:rsid w:val="00C91EF2"/>
    <w:rsid w:val="00C9488C"/>
    <w:rsid w:val="00C977D0"/>
    <w:rsid w:val="00CB03C5"/>
    <w:rsid w:val="00CB4401"/>
    <w:rsid w:val="00CB4789"/>
    <w:rsid w:val="00CB6AAC"/>
    <w:rsid w:val="00CB7CD9"/>
    <w:rsid w:val="00CC009D"/>
    <w:rsid w:val="00CC063D"/>
    <w:rsid w:val="00CC4CD3"/>
    <w:rsid w:val="00CD03BF"/>
    <w:rsid w:val="00CD0D0F"/>
    <w:rsid w:val="00CE66D6"/>
    <w:rsid w:val="00CE775D"/>
    <w:rsid w:val="00CF065A"/>
    <w:rsid w:val="00D02F8C"/>
    <w:rsid w:val="00D06607"/>
    <w:rsid w:val="00D21A38"/>
    <w:rsid w:val="00D21DAC"/>
    <w:rsid w:val="00D222BC"/>
    <w:rsid w:val="00D25A9A"/>
    <w:rsid w:val="00D372A1"/>
    <w:rsid w:val="00D42E54"/>
    <w:rsid w:val="00D43597"/>
    <w:rsid w:val="00D44A7F"/>
    <w:rsid w:val="00D44F14"/>
    <w:rsid w:val="00D5207F"/>
    <w:rsid w:val="00D5707E"/>
    <w:rsid w:val="00D73844"/>
    <w:rsid w:val="00D76F4D"/>
    <w:rsid w:val="00D8044B"/>
    <w:rsid w:val="00D8077A"/>
    <w:rsid w:val="00D821BD"/>
    <w:rsid w:val="00D92485"/>
    <w:rsid w:val="00D93335"/>
    <w:rsid w:val="00DC45A8"/>
    <w:rsid w:val="00DC5907"/>
    <w:rsid w:val="00DD7B66"/>
    <w:rsid w:val="00DE3017"/>
    <w:rsid w:val="00DF0E78"/>
    <w:rsid w:val="00DF25D9"/>
    <w:rsid w:val="00DF64D8"/>
    <w:rsid w:val="00E00A0D"/>
    <w:rsid w:val="00E07961"/>
    <w:rsid w:val="00E11902"/>
    <w:rsid w:val="00E1745C"/>
    <w:rsid w:val="00E21017"/>
    <w:rsid w:val="00E3545A"/>
    <w:rsid w:val="00E43995"/>
    <w:rsid w:val="00E4488E"/>
    <w:rsid w:val="00E47375"/>
    <w:rsid w:val="00E51622"/>
    <w:rsid w:val="00E5328A"/>
    <w:rsid w:val="00E55B31"/>
    <w:rsid w:val="00E56A25"/>
    <w:rsid w:val="00E6283B"/>
    <w:rsid w:val="00E64945"/>
    <w:rsid w:val="00E662D8"/>
    <w:rsid w:val="00E706B2"/>
    <w:rsid w:val="00E71C4A"/>
    <w:rsid w:val="00E72C1A"/>
    <w:rsid w:val="00E77539"/>
    <w:rsid w:val="00E81201"/>
    <w:rsid w:val="00E86BD5"/>
    <w:rsid w:val="00E96517"/>
    <w:rsid w:val="00EA2427"/>
    <w:rsid w:val="00EA24BB"/>
    <w:rsid w:val="00EA4B3B"/>
    <w:rsid w:val="00EC7C41"/>
    <w:rsid w:val="00ED2FDB"/>
    <w:rsid w:val="00ED79C7"/>
    <w:rsid w:val="00EE2B13"/>
    <w:rsid w:val="00EF4A90"/>
    <w:rsid w:val="00F067A6"/>
    <w:rsid w:val="00F06AB9"/>
    <w:rsid w:val="00F07EAA"/>
    <w:rsid w:val="00F260C1"/>
    <w:rsid w:val="00F27F88"/>
    <w:rsid w:val="00F30CB1"/>
    <w:rsid w:val="00F340C1"/>
    <w:rsid w:val="00F368D8"/>
    <w:rsid w:val="00F37929"/>
    <w:rsid w:val="00F41658"/>
    <w:rsid w:val="00F53CA6"/>
    <w:rsid w:val="00F56A7B"/>
    <w:rsid w:val="00F64742"/>
    <w:rsid w:val="00F6659A"/>
    <w:rsid w:val="00F73162"/>
    <w:rsid w:val="00F73656"/>
    <w:rsid w:val="00F743E7"/>
    <w:rsid w:val="00F750C6"/>
    <w:rsid w:val="00F76D83"/>
    <w:rsid w:val="00F80F62"/>
    <w:rsid w:val="00F92C08"/>
    <w:rsid w:val="00FA605C"/>
    <w:rsid w:val="00FB1ACA"/>
    <w:rsid w:val="00FB20C1"/>
    <w:rsid w:val="00FB2D5A"/>
    <w:rsid w:val="00FB607A"/>
    <w:rsid w:val="00FD0F7F"/>
    <w:rsid w:val="00FD370A"/>
    <w:rsid w:val="00FE1847"/>
    <w:rsid w:val="00FE3908"/>
    <w:rsid w:val="00FE775A"/>
    <w:rsid w:val="00FE79C7"/>
    <w:rsid w:val="00FF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2895F6"/>
  <w15:chartTrackingRefBased/>
  <w15:docId w15:val="{650EE964-2C23-4FA7-B95E-B43C91D59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7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3DC"/>
  </w:style>
  <w:style w:type="paragraph" w:styleId="Footer">
    <w:name w:val="footer"/>
    <w:basedOn w:val="Normal"/>
    <w:link w:val="FooterChar"/>
    <w:uiPriority w:val="99"/>
    <w:unhideWhenUsed/>
    <w:rsid w:val="00617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3DC"/>
  </w:style>
  <w:style w:type="table" w:styleId="TableGrid">
    <w:name w:val="Table Grid"/>
    <w:basedOn w:val="TableNormal"/>
    <w:uiPriority w:val="39"/>
    <w:rsid w:val="004D4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1">
    <w:name w:val="Calendar 1"/>
    <w:basedOn w:val="TableNormal"/>
    <w:uiPriority w:val="99"/>
    <w:qFormat/>
    <w:rsid w:val="00AC7427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271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71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71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1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1F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148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oleObject" Target="embeddings/oleObject4.bin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4.emf"/><Relationship Id="rId10" Type="http://schemas.openxmlformats.org/officeDocument/2006/relationships/footer" Target="footer1.xml"/><Relationship Id="rId19" Type="http://schemas.openxmlformats.org/officeDocument/2006/relationships/chart" Target="charts/chart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oleObject" Target="embeddings/oleObject2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Chart%20in%20Microsoft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509490408876906E-2"/>
          <c:y val="0.17912897164968941"/>
          <c:w val="0.91373856569200218"/>
          <c:h val="0.29174495870942968"/>
        </c:manualLayout>
      </c:layout>
      <c:lineChart>
        <c:grouping val="standard"/>
        <c:varyColors val="0"/>
        <c:ser>
          <c:idx val="0"/>
          <c:order val="0"/>
          <c:tx>
            <c:strRef>
              <c:f>'[Chart in Microsoft Word]Sheet2'!$B$123</c:f>
              <c:strCache>
                <c:ptCount val="1"/>
                <c:pt idx="0">
                  <c:v>Core 1 Inflation</c:v>
                </c:pt>
              </c:strCache>
            </c:strRef>
          </c:tx>
          <c:marker>
            <c:symbol val="none"/>
          </c:marker>
          <c:cat>
            <c:numRef>
              <c:f>'[Chart in Microsoft Word]Sheet2'!$GS$122:$HO$122</c:f>
              <c:numCache>
                <c:formatCode>mmm\-yy</c:formatCode>
                <c:ptCount val="23"/>
                <c:pt idx="0">
                  <c:v>44197</c:v>
                </c:pt>
                <c:pt idx="1">
                  <c:v>44228</c:v>
                </c:pt>
                <c:pt idx="2">
                  <c:v>44256</c:v>
                </c:pt>
                <c:pt idx="3">
                  <c:v>44287</c:v>
                </c:pt>
                <c:pt idx="4">
                  <c:v>44317</c:v>
                </c:pt>
                <c:pt idx="5">
                  <c:v>44348</c:v>
                </c:pt>
                <c:pt idx="6">
                  <c:v>44378</c:v>
                </c:pt>
                <c:pt idx="7">
                  <c:v>44409</c:v>
                </c:pt>
                <c:pt idx="8">
                  <c:v>44440</c:v>
                </c:pt>
                <c:pt idx="9">
                  <c:v>44470</c:v>
                </c:pt>
                <c:pt idx="10">
                  <c:v>44501</c:v>
                </c:pt>
                <c:pt idx="11">
                  <c:v>44531</c:v>
                </c:pt>
                <c:pt idx="12">
                  <c:v>44562</c:v>
                </c:pt>
                <c:pt idx="13">
                  <c:v>44593</c:v>
                </c:pt>
                <c:pt idx="14">
                  <c:v>44621</c:v>
                </c:pt>
                <c:pt idx="15">
                  <c:v>44652</c:v>
                </c:pt>
                <c:pt idx="16">
                  <c:v>44682</c:v>
                </c:pt>
                <c:pt idx="17">
                  <c:v>44713</c:v>
                </c:pt>
                <c:pt idx="18">
                  <c:v>44743</c:v>
                </c:pt>
                <c:pt idx="19">
                  <c:v>44774</c:v>
                </c:pt>
                <c:pt idx="20">
                  <c:v>44805</c:v>
                </c:pt>
                <c:pt idx="21">
                  <c:v>44835</c:v>
                </c:pt>
                <c:pt idx="22">
                  <c:v>44866</c:v>
                </c:pt>
              </c:numCache>
            </c:numRef>
          </c:cat>
          <c:val>
            <c:numRef>
              <c:f>'[Chart in Microsoft Word]Sheet2'!$GS$123:$HO$123</c:f>
              <c:numCache>
                <c:formatCode>0.00</c:formatCode>
                <c:ptCount val="23"/>
                <c:pt idx="0">
                  <c:v>7.8566945006237727</c:v>
                </c:pt>
                <c:pt idx="1">
                  <c:v>5.4190845635174627</c:v>
                </c:pt>
                <c:pt idx="2">
                  <c:v>7.7488586204360441</c:v>
                </c:pt>
                <c:pt idx="3">
                  <c:v>8.83067315791717</c:v>
                </c:pt>
                <c:pt idx="4">
                  <c:v>10.470266179914244</c:v>
                </c:pt>
                <c:pt idx="5">
                  <c:v>11.526705444726099</c:v>
                </c:pt>
                <c:pt idx="6">
                  <c:v>12.055390558085655</c:v>
                </c:pt>
                <c:pt idx="7">
                  <c:v>8.8511866526946097</c:v>
                </c:pt>
                <c:pt idx="8">
                  <c:v>9.1831979271166819</c:v>
                </c:pt>
                <c:pt idx="9">
                  <c:v>9.3715358234421764</c:v>
                </c:pt>
                <c:pt idx="10">
                  <c:v>8.4644809617556209</c:v>
                </c:pt>
                <c:pt idx="11">
                  <c:v>9.5106403778524644</c:v>
                </c:pt>
                <c:pt idx="12">
                  <c:v>8.1165182746165598</c:v>
                </c:pt>
                <c:pt idx="13">
                  <c:v>10.164195413480808</c:v>
                </c:pt>
                <c:pt idx="14">
                  <c:v>8.8734235623945423</c:v>
                </c:pt>
                <c:pt idx="15">
                  <c:v>16.436675769784021</c:v>
                </c:pt>
                <c:pt idx="16">
                  <c:v>15.432177777966483</c:v>
                </c:pt>
                <c:pt idx="17">
                  <c:v>15.230528974745116</c:v>
                </c:pt>
                <c:pt idx="18">
                  <c:v>15.765945129496423</c:v>
                </c:pt>
                <c:pt idx="19">
                  <c:v>18.328693683419008</c:v>
                </c:pt>
                <c:pt idx="20">
                  <c:v>18.986247587059271</c:v>
                </c:pt>
                <c:pt idx="21">
                  <c:v>18.650836897324073</c:v>
                </c:pt>
                <c:pt idx="22">
                  <c:v>18.511502164184833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829-490C-9AAD-FC9B0E1D7717}"/>
            </c:ext>
          </c:extLst>
        </c:ser>
        <c:ser>
          <c:idx val="1"/>
          <c:order val="1"/>
          <c:tx>
            <c:strRef>
              <c:f>'[Chart in Microsoft Word]Sheet2'!$B$124</c:f>
              <c:strCache>
                <c:ptCount val="1"/>
                <c:pt idx="0">
                  <c:v>Core 2 Inflation</c:v>
                </c:pt>
              </c:strCache>
            </c:strRef>
          </c:tx>
          <c:marker>
            <c:symbol val="none"/>
          </c:marker>
          <c:cat>
            <c:numRef>
              <c:f>'[Chart in Microsoft Word]Sheet2'!$GS$122:$HO$122</c:f>
              <c:numCache>
                <c:formatCode>mmm\-yy</c:formatCode>
                <c:ptCount val="23"/>
                <c:pt idx="0">
                  <c:v>44197</c:v>
                </c:pt>
                <c:pt idx="1">
                  <c:v>44228</c:v>
                </c:pt>
                <c:pt idx="2">
                  <c:v>44256</c:v>
                </c:pt>
                <c:pt idx="3">
                  <c:v>44287</c:v>
                </c:pt>
                <c:pt idx="4">
                  <c:v>44317</c:v>
                </c:pt>
                <c:pt idx="5">
                  <c:v>44348</c:v>
                </c:pt>
                <c:pt idx="6">
                  <c:v>44378</c:v>
                </c:pt>
                <c:pt idx="7">
                  <c:v>44409</c:v>
                </c:pt>
                <c:pt idx="8">
                  <c:v>44440</c:v>
                </c:pt>
                <c:pt idx="9">
                  <c:v>44470</c:v>
                </c:pt>
                <c:pt idx="10">
                  <c:v>44501</c:v>
                </c:pt>
                <c:pt idx="11">
                  <c:v>44531</c:v>
                </c:pt>
                <c:pt idx="12">
                  <c:v>44562</c:v>
                </c:pt>
                <c:pt idx="13">
                  <c:v>44593</c:v>
                </c:pt>
                <c:pt idx="14">
                  <c:v>44621</c:v>
                </c:pt>
                <c:pt idx="15">
                  <c:v>44652</c:v>
                </c:pt>
                <c:pt idx="16">
                  <c:v>44682</c:v>
                </c:pt>
                <c:pt idx="17">
                  <c:v>44713</c:v>
                </c:pt>
                <c:pt idx="18">
                  <c:v>44743</c:v>
                </c:pt>
                <c:pt idx="19">
                  <c:v>44774</c:v>
                </c:pt>
                <c:pt idx="20">
                  <c:v>44805</c:v>
                </c:pt>
                <c:pt idx="21">
                  <c:v>44835</c:v>
                </c:pt>
                <c:pt idx="22">
                  <c:v>44866</c:v>
                </c:pt>
              </c:numCache>
            </c:numRef>
          </c:cat>
          <c:val>
            <c:numRef>
              <c:f>'[Chart in Microsoft Word]Sheet2'!$GS$124:$HO$124</c:f>
              <c:numCache>
                <c:formatCode>0.00</c:formatCode>
                <c:ptCount val="23"/>
                <c:pt idx="0">
                  <c:v>5.2336916298823635</c:v>
                </c:pt>
                <c:pt idx="1">
                  <c:v>6.0308578228812486</c:v>
                </c:pt>
                <c:pt idx="2">
                  <c:v>6.3335536869951703</c:v>
                </c:pt>
                <c:pt idx="3">
                  <c:v>9.117716300720863</c:v>
                </c:pt>
                <c:pt idx="4">
                  <c:v>9.8292467464641771</c:v>
                </c:pt>
                <c:pt idx="5">
                  <c:v>10.543725379522341</c:v>
                </c:pt>
                <c:pt idx="6">
                  <c:v>11.144075462744055</c:v>
                </c:pt>
                <c:pt idx="7">
                  <c:v>10.238112665720188</c:v>
                </c:pt>
                <c:pt idx="8">
                  <c:v>8.989162718035379</c:v>
                </c:pt>
                <c:pt idx="9">
                  <c:v>9.5474419216004591</c:v>
                </c:pt>
                <c:pt idx="10">
                  <c:v>8.4386091111386285</c:v>
                </c:pt>
                <c:pt idx="11">
                  <c:v>8.5081694065716835</c:v>
                </c:pt>
                <c:pt idx="12">
                  <c:v>8.6945205382272892</c:v>
                </c:pt>
                <c:pt idx="13">
                  <c:v>10.323712113073798</c:v>
                </c:pt>
                <c:pt idx="14">
                  <c:v>9.7776609041211202</c:v>
                </c:pt>
                <c:pt idx="15">
                  <c:v>12.582549271070901</c:v>
                </c:pt>
                <c:pt idx="16">
                  <c:v>15.613689548785468</c:v>
                </c:pt>
                <c:pt idx="17">
                  <c:v>15.280727287371656</c:v>
                </c:pt>
                <c:pt idx="18">
                  <c:v>15.369070644077402</c:v>
                </c:pt>
                <c:pt idx="19">
                  <c:v>17.276852817666175</c:v>
                </c:pt>
                <c:pt idx="20">
                  <c:v>18.080439347895471</c:v>
                </c:pt>
                <c:pt idx="21">
                  <c:v>17.26068995331859</c:v>
                </c:pt>
                <c:pt idx="22">
                  <c:v>17.891637483765027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829-490C-9AAD-FC9B0E1D77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88222848"/>
        <c:axId val="1"/>
      </c:lineChart>
      <c:dateAx>
        <c:axId val="988222848"/>
        <c:scaling>
          <c:orientation val="minMax"/>
        </c:scaling>
        <c:delete val="0"/>
        <c:axPos val="b"/>
        <c:numFmt formatCode="mmm\-yy" sourceLinked="0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GM"/>
          </a:p>
        </c:txPr>
        <c:crossAx val="1"/>
        <c:crosses val="autoZero"/>
        <c:auto val="1"/>
        <c:lblOffset val="100"/>
        <c:baseTimeUnit val="months"/>
      </c:dateAx>
      <c:valAx>
        <c:axId val="1"/>
        <c:scaling>
          <c:orientation val="minMax"/>
        </c:scaling>
        <c:delete val="0"/>
        <c:axPos val="l"/>
        <c:numFmt formatCode="0.0" sourceLinked="0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GM"/>
          </a:p>
        </c:txPr>
        <c:crossAx val="9882228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6.7928850553728506E-2"/>
          <c:y val="0.88372399648865252"/>
          <c:w val="0.86080330291855944"/>
          <c:h val="7.4935660520967617E-2"/>
        </c:manualLayout>
      </c:layout>
      <c:overlay val="0"/>
      <c:txPr>
        <a:bodyPr/>
        <a:lstStyle/>
        <a:p>
          <a:pPr>
            <a:defRPr sz="8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en-GM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5FA52A478D79418B3F90588B492D5F" ma:contentTypeVersion="7" ma:contentTypeDescription="Create a new document." ma:contentTypeScope="" ma:versionID="da8becb4bd251caacc7dc580850c4766">
  <xsd:schema xmlns:xsd="http://www.w3.org/2001/XMLSchema" xmlns:xs="http://www.w3.org/2001/XMLSchema" xmlns:p="http://schemas.microsoft.com/office/2006/metadata/properties" xmlns:ns3="f439d2f5-db50-4bba-a106-854cfe9851c3" xmlns:ns4="45e26e05-2e30-4761-b598-e024e2f7ede5" targetNamespace="http://schemas.microsoft.com/office/2006/metadata/properties" ma:root="true" ma:fieldsID="a4ff07f2270d493112032f74b1850181" ns3:_="" ns4:_="">
    <xsd:import namespace="f439d2f5-db50-4bba-a106-854cfe9851c3"/>
    <xsd:import namespace="45e26e05-2e30-4761-b598-e024e2f7ed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9d2f5-db50-4bba-a106-854cfe9851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26e05-2e30-4761-b598-e024e2f7ed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8BCBBA-9C98-4186-A61B-5F21F778E9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3BB22B-3DB0-45B6-9615-A073A610F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39d2f5-db50-4bba-a106-854cfe9851c3"/>
    <ds:schemaRef ds:uri="45e26e05-2e30-4761-b598-e024e2f7ed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2497B-D833-4D0C-8A97-0914C48912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7BDFFD-ED24-4B88-B532-966EBFE874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Ansou Manneh</dc:creator>
  <cp:keywords/>
  <dc:description/>
  <cp:lastModifiedBy>Isatou Mendy</cp:lastModifiedBy>
  <cp:revision>2</cp:revision>
  <cp:lastPrinted>2021-10-22T10:36:00Z</cp:lastPrinted>
  <dcterms:created xsi:type="dcterms:W3CDTF">2023-01-11T15:11:00Z</dcterms:created>
  <dcterms:modified xsi:type="dcterms:W3CDTF">2023-01-11T15:11:00Z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0x0101009C5FA52A478D79418B3F90588B492D5F</vt:lpwstr>
  </property>
  <property fmtid="{D5CDD505-2E9C-101B-9397-08002B2CF9AE}" pid="3" name="GrammarlyDocumentId">
    <vt:lpwstr>6777370c781a3a0d45647aa7ed5ca6c352632fd666a6e3d91004e85ce59de235</vt:lpwstr>
  </property>
</Properties>
</file>